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BE36" w14:textId="7399BA47" w:rsidR="009020F1" w:rsidRDefault="00204097" w:rsidP="009020F1">
      <w:pPr>
        <w:pStyle w:val="Title"/>
        <w:jc w:val="center"/>
      </w:pPr>
      <w:r>
        <w:rPr>
          <w:noProof/>
          <w:lang w:eastAsia="en-GB"/>
        </w:rPr>
        <w:drawing>
          <wp:anchor distT="0" distB="0" distL="114300" distR="114300" simplePos="0" relativeHeight="251658240" behindDoc="0" locked="0" layoutInCell="1" allowOverlap="1" wp14:anchorId="49B607BB" wp14:editId="546353A7">
            <wp:simplePos x="0" y="0"/>
            <wp:positionH relativeFrom="margin">
              <wp:align>left</wp:align>
            </wp:positionH>
            <wp:positionV relativeFrom="paragraph">
              <wp:posOffset>0</wp:posOffset>
            </wp:positionV>
            <wp:extent cx="1675130" cy="929640"/>
            <wp:effectExtent l="0" t="0" r="127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ING quality)C BC Green  Gold 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5130" cy="929640"/>
                    </a:xfrm>
                    <a:prstGeom prst="rect">
                      <a:avLst/>
                    </a:prstGeom>
                  </pic:spPr>
                </pic:pic>
              </a:graphicData>
            </a:graphic>
            <wp14:sizeRelH relativeFrom="margin">
              <wp14:pctWidth>0</wp14:pctWidth>
            </wp14:sizeRelH>
            <wp14:sizeRelV relativeFrom="margin">
              <wp14:pctHeight>0</wp14:pctHeight>
            </wp14:sizeRelV>
          </wp:anchor>
        </w:drawing>
      </w:r>
    </w:p>
    <w:p w14:paraId="46606C62" w14:textId="09E857C1" w:rsidR="009020F1" w:rsidRDefault="009020F1" w:rsidP="009020F1">
      <w:pPr>
        <w:pStyle w:val="Title"/>
        <w:jc w:val="center"/>
      </w:pPr>
    </w:p>
    <w:p w14:paraId="7B0B4AD4" w14:textId="317B4DFF" w:rsidR="00204097" w:rsidRDefault="00384B8A" w:rsidP="009020F1">
      <w:pPr>
        <w:pStyle w:val="Title"/>
        <w:jc w:val="center"/>
      </w:pPr>
      <w:r>
        <w:rPr>
          <w:noProof/>
        </w:rPr>
        <w:drawing>
          <wp:anchor distT="0" distB="0" distL="114300" distR="114300" simplePos="0" relativeHeight="251659264" behindDoc="0" locked="0" layoutInCell="1" allowOverlap="1" wp14:anchorId="0034AE02" wp14:editId="473CDE1C">
            <wp:simplePos x="0" y="0"/>
            <wp:positionH relativeFrom="margin">
              <wp:posOffset>180975</wp:posOffset>
            </wp:positionH>
            <wp:positionV relativeFrom="paragraph">
              <wp:posOffset>266065</wp:posOffset>
            </wp:positionV>
            <wp:extent cx="1303655" cy="1150620"/>
            <wp:effectExtent l="0" t="0" r="0" b="0"/>
            <wp:wrapSquare wrapText="bothSides"/>
            <wp:docPr id="254359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59016"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03655" cy="1150620"/>
                    </a:xfrm>
                    <a:prstGeom prst="rect">
                      <a:avLst/>
                    </a:prstGeom>
                  </pic:spPr>
                </pic:pic>
              </a:graphicData>
            </a:graphic>
            <wp14:sizeRelH relativeFrom="margin">
              <wp14:pctWidth>0</wp14:pctWidth>
            </wp14:sizeRelH>
            <wp14:sizeRelV relativeFrom="margin">
              <wp14:pctHeight>0</wp14:pctHeight>
            </wp14:sizeRelV>
          </wp:anchor>
        </w:drawing>
      </w:r>
    </w:p>
    <w:p w14:paraId="46A2E643" w14:textId="7E13E216" w:rsidR="00204097" w:rsidRDefault="00204097" w:rsidP="009020F1">
      <w:pPr>
        <w:pStyle w:val="Title"/>
        <w:jc w:val="center"/>
      </w:pPr>
    </w:p>
    <w:p w14:paraId="2EA30159" w14:textId="3C01FE7C" w:rsidR="00204097" w:rsidRDefault="00204097" w:rsidP="009020F1">
      <w:pPr>
        <w:pStyle w:val="Title"/>
        <w:jc w:val="center"/>
      </w:pPr>
    </w:p>
    <w:p w14:paraId="2A7E3A72" w14:textId="77777777" w:rsidR="00384B8A" w:rsidRDefault="00384B8A" w:rsidP="009020F1">
      <w:pPr>
        <w:pStyle w:val="Title"/>
        <w:jc w:val="center"/>
      </w:pPr>
    </w:p>
    <w:p w14:paraId="668115FF" w14:textId="4794EEAC" w:rsidR="009020F1" w:rsidRDefault="009020F1" w:rsidP="00384B8A">
      <w:pPr>
        <w:pStyle w:val="Title"/>
      </w:pPr>
      <w:r w:rsidRPr="009020F1">
        <w:t>Leckhampton with Warden Hill</w:t>
      </w:r>
    </w:p>
    <w:p w14:paraId="0702A32C" w14:textId="77777777" w:rsidR="009020F1" w:rsidRDefault="009020F1" w:rsidP="00384B8A">
      <w:pPr>
        <w:pStyle w:val="Title"/>
      </w:pPr>
      <w:r w:rsidRPr="009020F1">
        <w:t>Parish Council </w:t>
      </w:r>
    </w:p>
    <w:p w14:paraId="234EB633" w14:textId="77777777" w:rsidR="00384B8A" w:rsidRPr="00384B8A" w:rsidRDefault="00384B8A" w:rsidP="00384B8A"/>
    <w:p w14:paraId="356866EC" w14:textId="6001D6A6" w:rsidR="007C05B0" w:rsidRDefault="009020F1" w:rsidP="00384B8A">
      <w:pPr>
        <w:pStyle w:val="Title"/>
      </w:pPr>
      <w:r w:rsidRPr="009020F1">
        <w:t>Regulation-16 Public Consultation</w:t>
      </w:r>
    </w:p>
    <w:p w14:paraId="18243996" w14:textId="77777777" w:rsidR="00384B8A" w:rsidRDefault="00384B8A" w:rsidP="00384B8A"/>
    <w:p w14:paraId="6B383E3A" w14:textId="77777777" w:rsidR="00384B8A" w:rsidRDefault="00384B8A" w:rsidP="00384B8A"/>
    <w:p w14:paraId="57132F76" w14:textId="77777777" w:rsidR="00384B8A" w:rsidRDefault="00384B8A" w:rsidP="00384B8A"/>
    <w:p w14:paraId="16A81B20" w14:textId="77777777" w:rsidR="00384B8A" w:rsidRDefault="00384B8A" w:rsidP="00384B8A"/>
    <w:p w14:paraId="178D8674" w14:textId="77777777" w:rsidR="00384B8A" w:rsidRDefault="00384B8A" w:rsidP="00384B8A"/>
    <w:p w14:paraId="5F7BBEBC" w14:textId="77777777" w:rsidR="00384B8A" w:rsidRDefault="00384B8A" w:rsidP="00384B8A"/>
    <w:p w14:paraId="265C801A" w14:textId="77777777" w:rsidR="00384B8A" w:rsidRDefault="00384B8A" w:rsidP="00384B8A"/>
    <w:p w14:paraId="5468938C" w14:textId="77777777" w:rsidR="00384B8A" w:rsidRDefault="00384B8A" w:rsidP="00384B8A"/>
    <w:p w14:paraId="230AB985" w14:textId="77777777" w:rsidR="00384B8A" w:rsidRDefault="00384B8A" w:rsidP="00384B8A"/>
    <w:p w14:paraId="47A624F9" w14:textId="77777777" w:rsidR="00384B8A" w:rsidRDefault="00384B8A" w:rsidP="00384B8A"/>
    <w:p w14:paraId="2E0F1498" w14:textId="77777777" w:rsidR="00384B8A" w:rsidRDefault="00384B8A" w:rsidP="00384B8A"/>
    <w:p w14:paraId="4611C5B0" w14:textId="77777777" w:rsidR="00384B8A" w:rsidRDefault="00384B8A" w:rsidP="00384B8A"/>
    <w:p w14:paraId="749EAEDD" w14:textId="77777777" w:rsidR="00384B8A" w:rsidRPr="00384B8A" w:rsidRDefault="00384B8A" w:rsidP="00384B8A">
      <w:pPr>
        <w:rPr>
          <w:b/>
          <w:bCs/>
        </w:rPr>
      </w:pPr>
    </w:p>
    <w:p w14:paraId="269A0428" w14:textId="05E607A2" w:rsidR="00384B8A" w:rsidRDefault="00384B8A" w:rsidP="00384B8A">
      <w:pPr>
        <w:rPr>
          <w:b/>
          <w:bCs/>
          <w:sz w:val="32"/>
          <w:szCs w:val="32"/>
        </w:rPr>
      </w:pPr>
      <w:r w:rsidRPr="00384B8A">
        <w:rPr>
          <w:b/>
          <w:bCs/>
          <w:sz w:val="32"/>
          <w:szCs w:val="32"/>
        </w:rPr>
        <w:t>Consultation Closing Date: 23:59 on 30 May 2025</w:t>
      </w:r>
    </w:p>
    <w:p w14:paraId="69253BE0" w14:textId="670D07AD" w:rsidR="00384B8A" w:rsidRPr="00384B8A" w:rsidRDefault="00902DE5" w:rsidP="00384B8A">
      <w:pPr>
        <w:rPr>
          <w:b/>
          <w:bCs/>
          <w:sz w:val="28"/>
          <w:szCs w:val="28"/>
        </w:rPr>
      </w:pPr>
      <w:hyperlink r:id="rId8" w:history="1">
        <w:r w:rsidR="00384B8A" w:rsidRPr="00384B8A">
          <w:rPr>
            <w:rStyle w:val="Hyperlink"/>
            <w:rFonts w:cstheme="minorHAnsi"/>
            <w:b/>
            <w:bCs/>
            <w:sz w:val="28"/>
            <w:szCs w:val="28"/>
          </w:rPr>
          <w:t>cheltenham.gov.uk/consultations</w:t>
        </w:r>
      </w:hyperlink>
    </w:p>
    <w:p w14:paraId="250B5AED" w14:textId="240C3E44" w:rsidR="00384B8A" w:rsidRPr="00384B8A" w:rsidRDefault="00A6580E" w:rsidP="00A6580E">
      <w:pPr>
        <w:pStyle w:val="Heading2"/>
        <w:rPr>
          <w:b/>
          <w:bCs/>
        </w:rPr>
      </w:pPr>
      <w:r>
        <w:rPr>
          <w:shd w:val="clear" w:color="auto" w:fill="FFFFFF"/>
        </w:rPr>
        <w:lastRenderedPageBreak/>
        <w:t>Overview</w:t>
      </w:r>
    </w:p>
    <w:p w14:paraId="5A9698B4" w14:textId="77777777" w:rsidR="00A6580E" w:rsidRPr="00A6580E" w:rsidRDefault="00A6580E" w:rsidP="00A6580E">
      <w:pPr>
        <w:spacing w:after="0" w:line="240" w:lineRule="auto"/>
        <w:rPr>
          <w:rFonts w:ascii="Segoe UI" w:eastAsia="Times New Roman" w:hAnsi="Segoe UI" w:cs="Segoe UI"/>
          <w:color w:val="000000"/>
          <w:kern w:val="0"/>
          <w:sz w:val="21"/>
          <w:szCs w:val="21"/>
          <w:lang w:eastAsia="en-GB"/>
          <w14:ligatures w14:val="none"/>
        </w:rPr>
      </w:pPr>
      <w:r w:rsidRPr="00A6580E">
        <w:rPr>
          <w:rFonts w:ascii="Segoe UI" w:eastAsia="Times New Roman" w:hAnsi="Segoe UI" w:cs="Segoe UI"/>
          <w:color w:val="000000"/>
          <w:kern w:val="0"/>
          <w:sz w:val="21"/>
          <w:szCs w:val="21"/>
          <w:lang w:eastAsia="en-GB"/>
          <w14:ligatures w14:val="none"/>
        </w:rPr>
        <w:t>Thank you for your interest in the future of Leckhampton and Warden Hill area. </w:t>
      </w:r>
    </w:p>
    <w:p w14:paraId="1DF16F6D" w14:textId="33B5F07B" w:rsidR="00A6580E" w:rsidRDefault="00A6580E" w:rsidP="00A6580E">
      <w:pPr>
        <w:rPr>
          <w:rFonts w:ascii="Segoe UI" w:eastAsia="Times New Roman" w:hAnsi="Segoe UI" w:cs="Segoe UI"/>
          <w:color w:val="000000"/>
          <w:kern w:val="0"/>
          <w:sz w:val="21"/>
          <w:szCs w:val="21"/>
          <w:shd w:val="clear" w:color="auto" w:fill="FFFFFF"/>
          <w:lang w:eastAsia="en-GB"/>
          <w14:ligatures w14:val="none"/>
        </w:rPr>
      </w:pPr>
      <w:r w:rsidRPr="00A6580E">
        <w:rPr>
          <w:rFonts w:ascii="Segoe UI" w:eastAsia="Times New Roman" w:hAnsi="Segoe UI" w:cs="Segoe UI"/>
          <w:color w:val="000000"/>
          <w:kern w:val="0"/>
          <w:sz w:val="21"/>
          <w:szCs w:val="21"/>
          <w:lang w:eastAsia="en-GB"/>
          <w14:ligatures w14:val="none"/>
        </w:rPr>
        <w:br/>
        <w:t xml:space="preserve">Leckhampton with Warden Hill Parish Council has drafted a Neighbourhood Plan which went through a Regulation-16 consultation last year, and as a result proposed amendments have been made to the plan. In light of this, Cheltenham Borough Council as the Local Planning Authority, has publicised an additional Regulation-16 consultation on the proposed amendments for a minimum 6-week period in accordance with the Neighbourhood Planning Regulations </w:t>
      </w:r>
      <w:r w:rsidR="002C66E3">
        <w:rPr>
          <w:rFonts w:ascii="Segoe UI" w:eastAsia="Times New Roman" w:hAnsi="Segoe UI" w:cs="Segoe UI"/>
          <w:color w:val="000000"/>
          <w:kern w:val="0"/>
          <w:sz w:val="21"/>
          <w:szCs w:val="21"/>
          <w:lang w:eastAsia="en-GB"/>
          <w14:ligatures w14:val="none"/>
        </w:rPr>
        <w:t>2012 (as amended)</w:t>
      </w:r>
      <w:r w:rsidRPr="00A6580E">
        <w:rPr>
          <w:rFonts w:ascii="Segoe UI" w:eastAsia="Times New Roman" w:hAnsi="Segoe UI" w:cs="Segoe UI"/>
          <w:color w:val="000000"/>
          <w:kern w:val="0"/>
          <w:sz w:val="21"/>
          <w:szCs w:val="21"/>
          <w:lang w:eastAsia="en-GB"/>
          <w14:ligatures w14:val="none"/>
        </w:rPr>
        <w:t>. This consultation will allow residents in the area, local businesses and interested parties to comment on the proposed amendments. </w:t>
      </w:r>
      <w:r w:rsidRPr="00A6580E">
        <w:rPr>
          <w:rFonts w:ascii="Segoe UI" w:eastAsia="Times New Roman" w:hAnsi="Segoe UI" w:cs="Segoe UI"/>
          <w:color w:val="000000"/>
          <w:kern w:val="0"/>
          <w:sz w:val="21"/>
          <w:szCs w:val="21"/>
          <w:lang w:eastAsia="en-GB"/>
          <w14:ligatures w14:val="none"/>
        </w:rPr>
        <w:br/>
      </w:r>
      <w:r w:rsidRPr="00A6580E">
        <w:rPr>
          <w:rFonts w:ascii="Segoe UI" w:eastAsia="Times New Roman" w:hAnsi="Segoe UI" w:cs="Segoe UI"/>
          <w:color w:val="000000"/>
          <w:kern w:val="0"/>
          <w:sz w:val="21"/>
          <w:szCs w:val="21"/>
          <w:lang w:eastAsia="en-GB"/>
          <w14:ligatures w14:val="none"/>
        </w:rPr>
        <w:br/>
        <w:t>At its forefront this Neighbourhood Plan contains planning policies and proposals for improving the area. It will deal with a wide range of social, economic and environmental issues from local commercial and community facilities, from the transport links, cycle lanes and walking routes, to local heritage, improvements to local flood risk and the protection of open space, including designated Local Green Space on the Leckhampton Fields. All documents related to the plan can be downloaded by clicking the link below:</w:t>
      </w:r>
      <w:r w:rsidRPr="00A6580E">
        <w:rPr>
          <w:rFonts w:ascii="Segoe UI" w:eastAsia="Times New Roman" w:hAnsi="Segoe UI" w:cs="Segoe UI"/>
          <w:color w:val="000000"/>
          <w:kern w:val="0"/>
          <w:sz w:val="21"/>
          <w:szCs w:val="21"/>
          <w:lang w:eastAsia="en-GB"/>
          <w14:ligatures w14:val="none"/>
        </w:rPr>
        <w:br/>
      </w:r>
      <w:r w:rsidRPr="00A6580E">
        <w:rPr>
          <w:rFonts w:ascii="Segoe UI" w:eastAsia="Times New Roman" w:hAnsi="Segoe UI" w:cs="Segoe UI"/>
          <w:color w:val="000000"/>
          <w:kern w:val="0"/>
          <w:sz w:val="21"/>
          <w:szCs w:val="21"/>
          <w:lang w:eastAsia="en-GB"/>
          <w14:ligatures w14:val="none"/>
        </w:rPr>
        <w:br/>
      </w:r>
      <w:hyperlink r:id="rId9" w:history="1">
        <w:r w:rsidRPr="00A6580E">
          <w:rPr>
            <w:rStyle w:val="Hyperlink"/>
            <w:rFonts w:ascii="Segoe UI" w:eastAsia="Times New Roman" w:hAnsi="Segoe UI" w:cs="Segoe UI"/>
            <w:kern w:val="0"/>
            <w:sz w:val="21"/>
            <w:szCs w:val="21"/>
            <w:lang w:eastAsia="en-GB"/>
            <w14:ligatures w14:val="none"/>
          </w:rPr>
          <w:t>cheltenham.gov.uk/downloads/download/2046/draft_leckhampton_with_warden_hill_neighbourhood_plan</w:t>
        </w:r>
      </w:hyperlink>
      <w:r>
        <w:rPr>
          <w:rFonts w:ascii="Segoe UI" w:eastAsia="Times New Roman" w:hAnsi="Segoe UI" w:cs="Segoe UI"/>
          <w:color w:val="000000"/>
          <w:kern w:val="0"/>
          <w:sz w:val="21"/>
          <w:szCs w:val="21"/>
          <w:lang w:eastAsia="en-GB"/>
          <w14:ligatures w14:val="none"/>
        </w:rPr>
        <w:t xml:space="preserve"> </w:t>
      </w:r>
      <w:r w:rsidRPr="00A6580E">
        <w:rPr>
          <w:rFonts w:ascii="Segoe UI" w:eastAsia="Times New Roman" w:hAnsi="Segoe UI" w:cs="Segoe UI"/>
          <w:color w:val="000000"/>
          <w:kern w:val="0"/>
          <w:sz w:val="21"/>
          <w:szCs w:val="21"/>
          <w:lang w:eastAsia="en-GB"/>
          <w14:ligatures w14:val="none"/>
        </w:rPr>
        <w:br/>
      </w:r>
      <w:r w:rsidRPr="00A6580E">
        <w:rPr>
          <w:rFonts w:ascii="Segoe UI" w:eastAsia="Times New Roman" w:hAnsi="Segoe UI" w:cs="Segoe UI"/>
          <w:color w:val="000000"/>
          <w:kern w:val="0"/>
          <w:sz w:val="21"/>
          <w:szCs w:val="21"/>
          <w:lang w:eastAsia="en-GB"/>
          <w14:ligatures w14:val="none"/>
        </w:rPr>
        <w:br/>
        <w:t>Evidence and further documentation have been added as appendices and annexes, like social and demographic profile of the area, lists of heritage buildings and green spaces. A travel and transport plan and statements including important background information on the areas valued landscape can also be viewed.</w:t>
      </w:r>
      <w:r w:rsidRPr="00A6580E">
        <w:rPr>
          <w:rFonts w:ascii="Segoe UI" w:eastAsia="Times New Roman" w:hAnsi="Segoe UI" w:cs="Segoe UI"/>
          <w:b/>
          <w:bCs/>
          <w:color w:val="000000"/>
          <w:kern w:val="0"/>
          <w:sz w:val="21"/>
          <w:szCs w:val="21"/>
          <w:lang w:eastAsia="en-GB"/>
          <w14:ligatures w14:val="none"/>
        </w:rPr>
        <w:br/>
      </w:r>
      <w:r w:rsidRPr="00A6580E">
        <w:rPr>
          <w:rFonts w:ascii="Segoe UI" w:eastAsia="Times New Roman" w:hAnsi="Segoe UI" w:cs="Segoe UI"/>
          <w:color w:val="000000"/>
          <w:kern w:val="0"/>
          <w:sz w:val="21"/>
          <w:szCs w:val="21"/>
          <w:lang w:eastAsia="en-GB"/>
          <w14:ligatures w14:val="none"/>
        </w:rPr>
        <w:t>If agreed, the Neighbourhood Plan will be an important influence on guiding future development in Leckhampton and Warden Hill. It sets out the Parish Council’s vision for the area and the policies they would like to see followed by decision-makers, especially when it comes to planning applications.</w:t>
      </w:r>
      <w:r w:rsidRPr="00A6580E">
        <w:rPr>
          <w:rFonts w:ascii="Segoe UI" w:eastAsia="Times New Roman" w:hAnsi="Segoe UI" w:cs="Segoe UI"/>
          <w:color w:val="000000"/>
          <w:kern w:val="0"/>
          <w:sz w:val="21"/>
          <w:szCs w:val="21"/>
          <w:lang w:eastAsia="en-GB"/>
          <w14:ligatures w14:val="none"/>
        </w:rPr>
        <w:br/>
      </w:r>
      <w:r w:rsidRPr="00A6580E">
        <w:rPr>
          <w:rFonts w:ascii="Segoe UI" w:eastAsia="Times New Roman" w:hAnsi="Segoe UI" w:cs="Segoe UI"/>
          <w:color w:val="000000"/>
          <w:kern w:val="0"/>
          <w:sz w:val="21"/>
          <w:szCs w:val="21"/>
          <w:lang w:eastAsia="en-GB"/>
          <w14:ligatures w14:val="none"/>
        </w:rPr>
        <w:br/>
        <w:t>This consultation will run for just over </w:t>
      </w:r>
      <w:r w:rsidRPr="00A6580E">
        <w:rPr>
          <w:rFonts w:ascii="Segoe UI" w:eastAsia="Times New Roman" w:hAnsi="Segoe UI" w:cs="Segoe UI"/>
          <w:b/>
          <w:bCs/>
          <w:color w:val="000000"/>
          <w:kern w:val="0"/>
          <w:sz w:val="21"/>
          <w:szCs w:val="21"/>
          <w:lang w:eastAsia="en-GB"/>
          <w14:ligatures w14:val="none"/>
        </w:rPr>
        <w:t>6 weeks</w:t>
      </w:r>
      <w:r w:rsidRPr="00A6580E">
        <w:rPr>
          <w:rFonts w:ascii="Segoe UI" w:eastAsia="Times New Roman" w:hAnsi="Segoe UI" w:cs="Segoe UI"/>
          <w:color w:val="000000"/>
          <w:kern w:val="0"/>
          <w:sz w:val="21"/>
          <w:szCs w:val="21"/>
          <w:lang w:eastAsia="en-GB"/>
          <w14:ligatures w14:val="none"/>
        </w:rPr>
        <w:t> from </w:t>
      </w:r>
      <w:r w:rsidRPr="00A6580E">
        <w:rPr>
          <w:rFonts w:ascii="Segoe UI" w:eastAsia="Times New Roman" w:hAnsi="Segoe UI" w:cs="Segoe UI"/>
          <w:b/>
          <w:bCs/>
          <w:color w:val="000000"/>
          <w:kern w:val="0"/>
          <w:sz w:val="21"/>
          <w:szCs w:val="21"/>
          <w:lang w:eastAsia="en-GB"/>
          <w14:ligatures w14:val="none"/>
        </w:rPr>
        <w:t>14th April 2025 </w:t>
      </w:r>
      <w:r w:rsidRPr="00A6580E">
        <w:rPr>
          <w:rFonts w:ascii="Segoe UI" w:eastAsia="Times New Roman" w:hAnsi="Segoe UI" w:cs="Segoe UI"/>
          <w:color w:val="000000"/>
          <w:kern w:val="0"/>
          <w:sz w:val="21"/>
          <w:szCs w:val="21"/>
          <w:lang w:eastAsia="en-GB"/>
          <w14:ligatures w14:val="none"/>
        </w:rPr>
        <w:t>until </w:t>
      </w:r>
      <w:r w:rsidRPr="00A6580E">
        <w:rPr>
          <w:rFonts w:ascii="Segoe UI" w:eastAsia="Times New Roman" w:hAnsi="Segoe UI" w:cs="Segoe UI"/>
          <w:b/>
          <w:bCs/>
          <w:color w:val="000000"/>
          <w:kern w:val="0"/>
          <w:sz w:val="21"/>
          <w:szCs w:val="21"/>
          <w:lang w:eastAsia="en-GB"/>
          <w14:ligatures w14:val="none"/>
        </w:rPr>
        <w:t>11:59pm on</w:t>
      </w:r>
      <w:r w:rsidRPr="00A6580E">
        <w:rPr>
          <w:rFonts w:ascii="Segoe UI" w:eastAsia="Times New Roman" w:hAnsi="Segoe UI" w:cs="Segoe UI"/>
          <w:color w:val="000000"/>
          <w:kern w:val="0"/>
          <w:sz w:val="21"/>
          <w:szCs w:val="21"/>
          <w:lang w:eastAsia="en-GB"/>
          <w14:ligatures w14:val="none"/>
        </w:rPr>
        <w:t> </w:t>
      </w:r>
      <w:r w:rsidRPr="00A6580E">
        <w:rPr>
          <w:rFonts w:ascii="Segoe UI" w:eastAsia="Times New Roman" w:hAnsi="Segoe UI" w:cs="Segoe UI"/>
          <w:b/>
          <w:bCs/>
          <w:color w:val="000000"/>
          <w:kern w:val="0"/>
          <w:sz w:val="21"/>
          <w:szCs w:val="21"/>
          <w:lang w:eastAsia="en-GB"/>
          <w14:ligatures w14:val="none"/>
        </w:rPr>
        <w:t>30th May 2025</w:t>
      </w:r>
      <w:r w:rsidRPr="00A6580E">
        <w:rPr>
          <w:rFonts w:ascii="Segoe UI" w:eastAsia="Times New Roman" w:hAnsi="Segoe UI" w:cs="Segoe UI"/>
          <w:color w:val="000000"/>
          <w:kern w:val="0"/>
          <w:sz w:val="21"/>
          <w:szCs w:val="21"/>
          <w:lang w:eastAsia="en-GB"/>
          <w14:ligatures w14:val="none"/>
        </w:rPr>
        <w:t>. </w:t>
      </w:r>
      <w:r w:rsidRPr="00A6580E">
        <w:rPr>
          <w:rFonts w:ascii="Segoe UI" w:eastAsia="Times New Roman" w:hAnsi="Segoe UI" w:cs="Segoe UI"/>
          <w:color w:val="000000"/>
          <w:kern w:val="0"/>
          <w:sz w:val="21"/>
          <w:szCs w:val="21"/>
          <w:lang w:eastAsia="en-GB"/>
          <w14:ligatures w14:val="none"/>
        </w:rPr>
        <w:br/>
      </w:r>
      <w:r w:rsidRPr="00A6580E">
        <w:rPr>
          <w:rFonts w:ascii="Segoe UI" w:eastAsia="Times New Roman" w:hAnsi="Segoe UI" w:cs="Segoe UI"/>
          <w:color w:val="000000"/>
          <w:kern w:val="0"/>
          <w:sz w:val="21"/>
          <w:szCs w:val="21"/>
          <w:lang w:eastAsia="en-GB"/>
          <w14:ligatures w14:val="none"/>
        </w:rPr>
        <w:br/>
      </w:r>
      <w:r w:rsidRPr="00A6580E">
        <w:rPr>
          <w:rFonts w:ascii="Segoe UI" w:eastAsia="Times New Roman" w:hAnsi="Segoe UI" w:cs="Segoe UI"/>
          <w:color w:val="000000"/>
          <w:kern w:val="0"/>
          <w:sz w:val="21"/>
          <w:szCs w:val="21"/>
          <w:shd w:val="clear" w:color="auto" w:fill="FFFFFF"/>
          <w:lang w:eastAsia="en-GB"/>
          <w14:ligatures w14:val="none"/>
        </w:rPr>
        <w:t>For details of how your information will be used please see Cheltenham Borough Council's privacy policy: </w:t>
      </w:r>
      <w:hyperlink r:id="rId10" w:history="1">
        <w:r w:rsidRPr="00A6580E">
          <w:rPr>
            <w:rStyle w:val="Hyperlink"/>
            <w:rFonts w:ascii="Segoe UI" w:eastAsia="Times New Roman" w:hAnsi="Segoe UI" w:cs="Segoe UI"/>
            <w:kern w:val="0"/>
            <w:sz w:val="21"/>
            <w:szCs w:val="21"/>
            <w:shd w:val="clear" w:color="auto" w:fill="FFFFFF"/>
            <w:lang w:eastAsia="en-GB"/>
            <w14:ligatures w14:val="none"/>
          </w:rPr>
          <w:t>cheltenham.gov.uk/your-data </w:t>
        </w:r>
      </w:hyperlink>
    </w:p>
    <w:p w14:paraId="5F3C2D9B" w14:textId="77777777" w:rsidR="00A6580E" w:rsidRDefault="00A6580E">
      <w:pPr>
        <w:rPr>
          <w:rFonts w:ascii="Segoe UI" w:eastAsia="Times New Roman" w:hAnsi="Segoe UI" w:cs="Segoe UI"/>
          <w:color w:val="000000"/>
          <w:kern w:val="0"/>
          <w:sz w:val="21"/>
          <w:szCs w:val="21"/>
          <w:shd w:val="clear" w:color="auto" w:fill="FFFFFF"/>
          <w:lang w:eastAsia="en-GB"/>
          <w14:ligatures w14:val="none"/>
        </w:rPr>
      </w:pPr>
      <w:r>
        <w:rPr>
          <w:rFonts w:ascii="Segoe UI" w:eastAsia="Times New Roman" w:hAnsi="Segoe UI" w:cs="Segoe UI"/>
          <w:color w:val="000000"/>
          <w:kern w:val="0"/>
          <w:sz w:val="21"/>
          <w:szCs w:val="21"/>
          <w:shd w:val="clear" w:color="auto" w:fill="FFFFFF"/>
          <w:lang w:eastAsia="en-GB"/>
          <w14:ligatures w14:val="none"/>
        </w:rPr>
        <w:br w:type="page"/>
      </w:r>
    </w:p>
    <w:p w14:paraId="6F21C9E8" w14:textId="4C411070" w:rsidR="00A6580E" w:rsidRDefault="00A6580E" w:rsidP="000B286E">
      <w:pPr>
        <w:pStyle w:val="Heading2"/>
        <w:rPr>
          <w:shd w:val="clear" w:color="auto" w:fill="FFFFFF"/>
        </w:rPr>
      </w:pPr>
      <w:r>
        <w:rPr>
          <w:shd w:val="clear" w:color="auto" w:fill="FFFFFF"/>
        </w:rPr>
        <w:lastRenderedPageBreak/>
        <w:t>Introduction </w:t>
      </w:r>
    </w:p>
    <w:p w14:paraId="32E7B5F1" w14:textId="77777777" w:rsidR="000B286E" w:rsidRDefault="000B286E" w:rsidP="000B286E"/>
    <w:p w14:paraId="5057D174" w14:textId="5D8B673C" w:rsidR="000B286E" w:rsidRPr="00F2320D" w:rsidRDefault="00F2320D" w:rsidP="000B286E">
      <w:pPr>
        <w:rPr>
          <w:sz w:val="24"/>
          <w:szCs w:val="24"/>
        </w:rPr>
      </w:pPr>
      <w:r w:rsidRPr="00F2320D">
        <w:rPr>
          <w:noProof/>
          <w:sz w:val="24"/>
          <w:szCs w:val="24"/>
        </w:rPr>
        <mc:AlternateContent>
          <mc:Choice Requires="wps">
            <w:drawing>
              <wp:anchor distT="45720" distB="45720" distL="114300" distR="114300" simplePos="0" relativeHeight="251661312" behindDoc="0" locked="0" layoutInCell="1" allowOverlap="1" wp14:anchorId="6628B766" wp14:editId="477415D2">
                <wp:simplePos x="0" y="0"/>
                <wp:positionH relativeFrom="margin">
                  <wp:align>right</wp:align>
                </wp:positionH>
                <wp:positionV relativeFrom="paragraph">
                  <wp:posOffset>259080</wp:posOffset>
                </wp:positionV>
                <wp:extent cx="57150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0EB72E2" w14:textId="3729DCF3" w:rsidR="00F2320D" w:rsidRDefault="00F2320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28B766" id="_x0000_t202" coordsize="21600,21600" o:spt="202" path="m,l,21600r21600,l21600,xe">
                <v:stroke joinstyle="miter"/>
                <v:path gradientshapeok="t" o:connecttype="rect"/>
              </v:shapetype>
              <v:shape id="Text Box 2" o:spid="_x0000_s1026" type="#_x0000_t202" style="position:absolute;margin-left:398.8pt;margin-top:20.4pt;width:45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">
                <v:textbox style="mso-fit-shape-to-text:t">
                  <w:txbxContent>
                    <w:p w14:paraId="60EB72E2" w14:textId="3729DCF3" w:rsidR="00F2320D" w:rsidRDefault="00F2320D"/>
                  </w:txbxContent>
                </v:textbox>
                <w10:wrap type="square" anchorx="margin"/>
              </v:shape>
            </w:pict>
          </mc:Fallback>
        </mc:AlternateContent>
      </w:r>
      <w:r w:rsidR="000B286E" w:rsidRPr="00F2320D">
        <w:rPr>
          <w:sz w:val="24"/>
          <w:szCs w:val="24"/>
        </w:rPr>
        <w:t xml:space="preserve">What is your name? </w:t>
      </w:r>
    </w:p>
    <w:p w14:paraId="76CB45D5" w14:textId="6D4A1F6B" w:rsidR="000B286E" w:rsidRDefault="000B286E" w:rsidP="000B286E"/>
    <w:p w14:paraId="54EA04E2" w14:textId="30C6A698" w:rsidR="00F2320D" w:rsidRDefault="00F2320D" w:rsidP="000B286E">
      <w:pPr>
        <w:rPr>
          <w:sz w:val="24"/>
          <w:szCs w:val="24"/>
        </w:rPr>
      </w:pPr>
      <w:r w:rsidRPr="00F2320D">
        <w:rPr>
          <w:noProof/>
          <w:sz w:val="24"/>
          <w:szCs w:val="24"/>
        </w:rPr>
        <mc:AlternateContent>
          <mc:Choice Requires="wps">
            <w:drawing>
              <wp:anchor distT="45720" distB="45720" distL="114300" distR="114300" simplePos="0" relativeHeight="251663360" behindDoc="0" locked="0" layoutInCell="1" allowOverlap="1" wp14:anchorId="07A85C49" wp14:editId="4FF1DFD9">
                <wp:simplePos x="0" y="0"/>
                <wp:positionH relativeFrom="margin">
                  <wp:align>right</wp:align>
                </wp:positionH>
                <wp:positionV relativeFrom="paragraph">
                  <wp:posOffset>252730</wp:posOffset>
                </wp:positionV>
                <wp:extent cx="5715000" cy="1404620"/>
                <wp:effectExtent l="0" t="0" r="19050" b="13970"/>
                <wp:wrapSquare wrapText="bothSides"/>
                <wp:docPr id="11762459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B40E895" w14:textId="77777777" w:rsidR="00F2320D" w:rsidRDefault="00F2320D" w:rsidP="00F2320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85C49" id="_x0000_s1027" type="#_x0000_t202" style="position:absolute;margin-left:398.8pt;margin-top:19.9pt;width:450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">
                <v:textbox style="mso-fit-shape-to-text:t">
                  <w:txbxContent>
                    <w:p w14:paraId="6B40E895" w14:textId="77777777" w:rsidR="00F2320D" w:rsidRDefault="00F2320D" w:rsidP="00F2320D"/>
                  </w:txbxContent>
                </v:textbox>
                <w10:wrap type="square" anchorx="margin"/>
              </v:shape>
            </w:pict>
          </mc:Fallback>
        </mc:AlternateContent>
      </w:r>
      <w:r w:rsidRPr="00F2320D">
        <w:rPr>
          <w:sz w:val="24"/>
          <w:szCs w:val="24"/>
        </w:rPr>
        <w:t xml:space="preserve">What is your email address? </w:t>
      </w:r>
    </w:p>
    <w:p w14:paraId="6B7B10D0" w14:textId="4FCE19F5" w:rsidR="00F2320D" w:rsidRDefault="00F2320D" w:rsidP="000B286E">
      <w:pPr>
        <w:rPr>
          <w:sz w:val="24"/>
          <w:szCs w:val="24"/>
        </w:rPr>
      </w:pPr>
    </w:p>
    <w:p w14:paraId="6DA25AD8" w14:textId="36254BCD" w:rsidR="00F2320D" w:rsidRDefault="00F2320D" w:rsidP="000B286E">
      <w:pPr>
        <w:rPr>
          <w:sz w:val="24"/>
          <w:szCs w:val="24"/>
        </w:rPr>
      </w:pPr>
      <w:r>
        <w:rPr>
          <w:sz w:val="24"/>
          <w:szCs w:val="24"/>
        </w:rPr>
        <w:t xml:space="preserve">What describes your interest in this consultation? </w:t>
      </w:r>
    </w:p>
    <w:tbl>
      <w:tblPr>
        <w:tblStyle w:val="TableGrid"/>
        <w:tblW w:w="0" w:type="auto"/>
        <w:tblLook w:val="04A0" w:firstRow="1" w:lastRow="0" w:firstColumn="1" w:lastColumn="0" w:noHBand="0" w:noVBand="1"/>
      </w:tblPr>
      <w:tblGrid>
        <w:gridCol w:w="421"/>
        <w:gridCol w:w="3144"/>
      </w:tblGrid>
      <w:tr w:rsidR="00F2320D" w14:paraId="0672D402" w14:textId="77777777" w:rsidTr="003455DB">
        <w:trPr>
          <w:trHeight w:val="395"/>
        </w:trPr>
        <w:tc>
          <w:tcPr>
            <w:tcW w:w="421" w:type="dxa"/>
          </w:tcPr>
          <w:p w14:paraId="2973BBBA" w14:textId="77777777" w:rsidR="00F2320D" w:rsidRDefault="00F2320D" w:rsidP="00F2320D">
            <w:pPr>
              <w:rPr>
                <w:sz w:val="24"/>
                <w:szCs w:val="24"/>
              </w:rPr>
            </w:pPr>
          </w:p>
        </w:tc>
        <w:tc>
          <w:tcPr>
            <w:tcW w:w="3144" w:type="dxa"/>
            <w:vAlign w:val="center"/>
          </w:tcPr>
          <w:p w14:paraId="57F5A975" w14:textId="2FC98E80" w:rsidR="003455DB" w:rsidRDefault="00F2320D" w:rsidP="00F2320D">
            <w:pPr>
              <w:rPr>
                <w:sz w:val="24"/>
                <w:szCs w:val="24"/>
              </w:rPr>
            </w:pPr>
            <w:r>
              <w:rPr>
                <w:sz w:val="24"/>
                <w:szCs w:val="24"/>
              </w:rPr>
              <w:t>Local land/property owner</w:t>
            </w:r>
          </w:p>
        </w:tc>
      </w:tr>
      <w:tr w:rsidR="00F2320D" w14:paraId="3D10D2BD" w14:textId="77777777" w:rsidTr="003455DB">
        <w:trPr>
          <w:trHeight w:val="415"/>
        </w:trPr>
        <w:tc>
          <w:tcPr>
            <w:tcW w:w="421" w:type="dxa"/>
          </w:tcPr>
          <w:p w14:paraId="7E3C16C8" w14:textId="77777777" w:rsidR="00F2320D" w:rsidRDefault="00F2320D" w:rsidP="00F2320D">
            <w:pPr>
              <w:rPr>
                <w:sz w:val="24"/>
                <w:szCs w:val="24"/>
              </w:rPr>
            </w:pPr>
          </w:p>
        </w:tc>
        <w:tc>
          <w:tcPr>
            <w:tcW w:w="3144" w:type="dxa"/>
            <w:vAlign w:val="center"/>
          </w:tcPr>
          <w:p w14:paraId="6242F07D" w14:textId="7AB5D71A" w:rsidR="00F2320D" w:rsidRDefault="00F2320D" w:rsidP="00F2320D">
            <w:pPr>
              <w:rPr>
                <w:sz w:val="24"/>
                <w:szCs w:val="24"/>
              </w:rPr>
            </w:pPr>
            <w:r>
              <w:rPr>
                <w:sz w:val="24"/>
                <w:szCs w:val="24"/>
              </w:rPr>
              <w:t>Local business</w:t>
            </w:r>
          </w:p>
        </w:tc>
      </w:tr>
      <w:tr w:rsidR="00F2320D" w14:paraId="07037A5A" w14:textId="77777777" w:rsidTr="003455DB">
        <w:trPr>
          <w:trHeight w:val="420"/>
        </w:trPr>
        <w:tc>
          <w:tcPr>
            <w:tcW w:w="421" w:type="dxa"/>
          </w:tcPr>
          <w:p w14:paraId="497162A5" w14:textId="77777777" w:rsidR="00F2320D" w:rsidRDefault="00F2320D" w:rsidP="00F2320D">
            <w:pPr>
              <w:rPr>
                <w:sz w:val="24"/>
                <w:szCs w:val="24"/>
              </w:rPr>
            </w:pPr>
          </w:p>
        </w:tc>
        <w:tc>
          <w:tcPr>
            <w:tcW w:w="3144" w:type="dxa"/>
            <w:vAlign w:val="center"/>
          </w:tcPr>
          <w:p w14:paraId="1DE22072" w14:textId="35A2A7AC" w:rsidR="00F2320D" w:rsidRDefault="00F2320D" w:rsidP="00F2320D">
            <w:pPr>
              <w:rPr>
                <w:sz w:val="24"/>
                <w:szCs w:val="24"/>
              </w:rPr>
            </w:pPr>
            <w:r>
              <w:rPr>
                <w:sz w:val="24"/>
                <w:szCs w:val="24"/>
              </w:rPr>
              <w:t>Local resident</w:t>
            </w:r>
          </w:p>
        </w:tc>
      </w:tr>
      <w:tr w:rsidR="00F2320D" w14:paraId="4791674C" w14:textId="77777777" w:rsidTr="003455DB">
        <w:trPr>
          <w:trHeight w:val="413"/>
        </w:trPr>
        <w:tc>
          <w:tcPr>
            <w:tcW w:w="421" w:type="dxa"/>
          </w:tcPr>
          <w:p w14:paraId="2B79865E" w14:textId="77777777" w:rsidR="00F2320D" w:rsidRDefault="00F2320D" w:rsidP="00F2320D">
            <w:pPr>
              <w:rPr>
                <w:sz w:val="24"/>
                <w:szCs w:val="24"/>
              </w:rPr>
            </w:pPr>
          </w:p>
        </w:tc>
        <w:tc>
          <w:tcPr>
            <w:tcW w:w="3144" w:type="dxa"/>
            <w:vAlign w:val="center"/>
          </w:tcPr>
          <w:p w14:paraId="70249C69" w14:textId="27A66A07" w:rsidR="00F2320D" w:rsidRDefault="00F2320D" w:rsidP="00F2320D">
            <w:pPr>
              <w:rPr>
                <w:sz w:val="24"/>
                <w:szCs w:val="24"/>
              </w:rPr>
            </w:pPr>
            <w:r>
              <w:rPr>
                <w:sz w:val="24"/>
                <w:szCs w:val="24"/>
              </w:rPr>
              <w:t>Local authority/Parish Council</w:t>
            </w:r>
          </w:p>
        </w:tc>
      </w:tr>
      <w:tr w:rsidR="00F2320D" w14:paraId="42FED464" w14:textId="77777777" w:rsidTr="003455DB">
        <w:trPr>
          <w:trHeight w:val="419"/>
        </w:trPr>
        <w:tc>
          <w:tcPr>
            <w:tcW w:w="421" w:type="dxa"/>
          </w:tcPr>
          <w:p w14:paraId="3034B1E4" w14:textId="77777777" w:rsidR="00F2320D" w:rsidRDefault="00F2320D" w:rsidP="00F2320D">
            <w:pPr>
              <w:rPr>
                <w:sz w:val="24"/>
                <w:szCs w:val="24"/>
              </w:rPr>
            </w:pPr>
          </w:p>
        </w:tc>
        <w:tc>
          <w:tcPr>
            <w:tcW w:w="3144" w:type="dxa"/>
            <w:vAlign w:val="center"/>
          </w:tcPr>
          <w:p w14:paraId="70994527" w14:textId="3C072EED" w:rsidR="00F2320D" w:rsidRDefault="00F2320D" w:rsidP="00F2320D">
            <w:pPr>
              <w:rPr>
                <w:sz w:val="24"/>
                <w:szCs w:val="24"/>
              </w:rPr>
            </w:pPr>
            <w:r>
              <w:rPr>
                <w:sz w:val="24"/>
                <w:szCs w:val="24"/>
              </w:rPr>
              <w:t>Planning/other consultant</w:t>
            </w:r>
          </w:p>
        </w:tc>
      </w:tr>
      <w:tr w:rsidR="00F2320D" w14:paraId="6B95B392" w14:textId="77777777" w:rsidTr="003455DB">
        <w:trPr>
          <w:trHeight w:val="397"/>
        </w:trPr>
        <w:tc>
          <w:tcPr>
            <w:tcW w:w="421" w:type="dxa"/>
          </w:tcPr>
          <w:p w14:paraId="4526D778" w14:textId="77777777" w:rsidR="00F2320D" w:rsidRDefault="00F2320D" w:rsidP="00F2320D">
            <w:pPr>
              <w:rPr>
                <w:sz w:val="24"/>
                <w:szCs w:val="24"/>
              </w:rPr>
            </w:pPr>
          </w:p>
        </w:tc>
        <w:tc>
          <w:tcPr>
            <w:tcW w:w="3144" w:type="dxa"/>
            <w:vAlign w:val="center"/>
          </w:tcPr>
          <w:p w14:paraId="7E24F9F2" w14:textId="3AEE4AD6" w:rsidR="00F2320D" w:rsidRDefault="00F2320D" w:rsidP="00F2320D">
            <w:pPr>
              <w:rPr>
                <w:sz w:val="24"/>
                <w:szCs w:val="24"/>
              </w:rPr>
            </w:pPr>
            <w:r>
              <w:rPr>
                <w:sz w:val="24"/>
                <w:szCs w:val="24"/>
              </w:rPr>
              <w:t>Developer</w:t>
            </w:r>
          </w:p>
        </w:tc>
      </w:tr>
      <w:tr w:rsidR="00F2320D" w14:paraId="5EAD63F1" w14:textId="77777777" w:rsidTr="003455DB">
        <w:trPr>
          <w:trHeight w:val="416"/>
        </w:trPr>
        <w:tc>
          <w:tcPr>
            <w:tcW w:w="421" w:type="dxa"/>
          </w:tcPr>
          <w:p w14:paraId="6916CF37" w14:textId="77777777" w:rsidR="00F2320D" w:rsidRDefault="00F2320D" w:rsidP="00F2320D">
            <w:pPr>
              <w:rPr>
                <w:sz w:val="24"/>
                <w:szCs w:val="24"/>
              </w:rPr>
            </w:pPr>
          </w:p>
        </w:tc>
        <w:tc>
          <w:tcPr>
            <w:tcW w:w="3144" w:type="dxa"/>
            <w:vAlign w:val="center"/>
          </w:tcPr>
          <w:p w14:paraId="2B184F77" w14:textId="7AA011D6" w:rsidR="00F2320D" w:rsidRDefault="00F2320D" w:rsidP="00F2320D">
            <w:pPr>
              <w:rPr>
                <w:sz w:val="24"/>
                <w:szCs w:val="24"/>
              </w:rPr>
            </w:pPr>
            <w:r>
              <w:rPr>
                <w:sz w:val="24"/>
                <w:szCs w:val="24"/>
              </w:rPr>
              <w:t>County/District Councillor</w:t>
            </w:r>
          </w:p>
        </w:tc>
      </w:tr>
      <w:tr w:rsidR="00F2320D" w14:paraId="23780B06" w14:textId="77777777" w:rsidTr="003455DB">
        <w:trPr>
          <w:trHeight w:val="422"/>
        </w:trPr>
        <w:tc>
          <w:tcPr>
            <w:tcW w:w="421" w:type="dxa"/>
          </w:tcPr>
          <w:p w14:paraId="3CDFFAFA" w14:textId="77777777" w:rsidR="00F2320D" w:rsidRDefault="00F2320D" w:rsidP="00F2320D">
            <w:pPr>
              <w:rPr>
                <w:sz w:val="24"/>
                <w:szCs w:val="24"/>
              </w:rPr>
            </w:pPr>
          </w:p>
        </w:tc>
        <w:tc>
          <w:tcPr>
            <w:tcW w:w="3144" w:type="dxa"/>
            <w:vAlign w:val="center"/>
          </w:tcPr>
          <w:p w14:paraId="77AC2E45" w14:textId="69D9337A" w:rsidR="00F2320D" w:rsidRDefault="00F2320D" w:rsidP="00F2320D">
            <w:pPr>
              <w:rPr>
                <w:sz w:val="24"/>
                <w:szCs w:val="24"/>
              </w:rPr>
            </w:pPr>
            <w:r>
              <w:rPr>
                <w:sz w:val="24"/>
                <w:szCs w:val="24"/>
              </w:rPr>
              <w:t>Private organisation</w:t>
            </w:r>
          </w:p>
        </w:tc>
      </w:tr>
      <w:tr w:rsidR="00F2320D" w14:paraId="5D658C3A" w14:textId="77777777" w:rsidTr="003455DB">
        <w:trPr>
          <w:trHeight w:val="415"/>
        </w:trPr>
        <w:tc>
          <w:tcPr>
            <w:tcW w:w="421" w:type="dxa"/>
          </w:tcPr>
          <w:p w14:paraId="3892D566" w14:textId="77777777" w:rsidR="00F2320D" w:rsidRDefault="00F2320D" w:rsidP="00F2320D">
            <w:pPr>
              <w:rPr>
                <w:sz w:val="24"/>
                <w:szCs w:val="24"/>
              </w:rPr>
            </w:pPr>
          </w:p>
        </w:tc>
        <w:tc>
          <w:tcPr>
            <w:tcW w:w="3144" w:type="dxa"/>
            <w:vAlign w:val="center"/>
          </w:tcPr>
          <w:p w14:paraId="74117940" w14:textId="4C98CF86" w:rsidR="00F2320D" w:rsidRDefault="00F2320D" w:rsidP="00F2320D">
            <w:pPr>
              <w:rPr>
                <w:sz w:val="24"/>
                <w:szCs w:val="24"/>
              </w:rPr>
            </w:pPr>
            <w:r>
              <w:rPr>
                <w:sz w:val="24"/>
                <w:szCs w:val="24"/>
              </w:rPr>
              <w:t>Other organisation</w:t>
            </w:r>
          </w:p>
        </w:tc>
      </w:tr>
    </w:tbl>
    <w:p w14:paraId="741912EA" w14:textId="5A919D5E" w:rsidR="00F2320D" w:rsidRDefault="00F2320D" w:rsidP="00F2320D">
      <w:pPr>
        <w:rPr>
          <w:sz w:val="24"/>
          <w:szCs w:val="24"/>
        </w:rPr>
      </w:pPr>
    </w:p>
    <w:p w14:paraId="7D2DE7F6" w14:textId="67F7EE0A" w:rsidR="003455DB" w:rsidRDefault="003455DB" w:rsidP="00F2320D">
      <w:pPr>
        <w:rPr>
          <w:sz w:val="24"/>
          <w:szCs w:val="24"/>
        </w:rPr>
      </w:pPr>
      <w:r w:rsidRPr="00F2320D">
        <w:rPr>
          <w:noProof/>
          <w:sz w:val="24"/>
          <w:szCs w:val="24"/>
        </w:rPr>
        <mc:AlternateContent>
          <mc:Choice Requires="wps">
            <w:drawing>
              <wp:anchor distT="45720" distB="45720" distL="114300" distR="114300" simplePos="0" relativeHeight="251665408" behindDoc="0" locked="0" layoutInCell="1" allowOverlap="1" wp14:anchorId="47301032" wp14:editId="2D73DC49">
                <wp:simplePos x="0" y="0"/>
                <wp:positionH relativeFrom="margin">
                  <wp:align>right</wp:align>
                </wp:positionH>
                <wp:positionV relativeFrom="paragraph">
                  <wp:posOffset>290195</wp:posOffset>
                </wp:positionV>
                <wp:extent cx="5715000" cy="1404620"/>
                <wp:effectExtent l="0" t="0" r="19050" b="13970"/>
                <wp:wrapSquare wrapText="bothSides"/>
                <wp:docPr id="1909230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B00CE58" w14:textId="77777777" w:rsidR="003455DB" w:rsidRDefault="003455DB" w:rsidP="003455D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301032" id="_x0000_s1028" type="#_x0000_t202" style="position:absolute;margin-left:398.8pt;margin-top:22.85pt;width:450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">
                <v:textbox style="mso-fit-shape-to-text:t">
                  <w:txbxContent>
                    <w:p w14:paraId="1B00CE58" w14:textId="77777777" w:rsidR="003455DB" w:rsidRDefault="003455DB" w:rsidP="003455DB"/>
                  </w:txbxContent>
                </v:textbox>
                <w10:wrap type="square" anchorx="margin"/>
              </v:shape>
            </w:pict>
          </mc:Fallback>
        </mc:AlternateContent>
      </w:r>
      <w:r>
        <w:rPr>
          <w:sz w:val="24"/>
          <w:szCs w:val="24"/>
        </w:rPr>
        <w:t>What is your organisation?</w:t>
      </w:r>
    </w:p>
    <w:p w14:paraId="75AA22AA" w14:textId="50D6B083" w:rsidR="003455DB" w:rsidRDefault="003455DB">
      <w:pPr>
        <w:rPr>
          <w:sz w:val="24"/>
          <w:szCs w:val="24"/>
        </w:rPr>
      </w:pPr>
      <w:r>
        <w:rPr>
          <w:sz w:val="24"/>
          <w:szCs w:val="24"/>
        </w:rPr>
        <w:br w:type="page"/>
      </w:r>
    </w:p>
    <w:p w14:paraId="573E832E" w14:textId="5B9B95F9" w:rsidR="003455DB" w:rsidRDefault="003455DB" w:rsidP="003455DB">
      <w:pPr>
        <w:pStyle w:val="Heading2"/>
        <w:rPr>
          <w:shd w:val="clear" w:color="auto" w:fill="FFFFFF"/>
        </w:rPr>
      </w:pPr>
      <w:r>
        <w:rPr>
          <w:shd w:val="clear" w:color="auto" w:fill="FFFFFF"/>
        </w:rPr>
        <w:t>Tell us what you think</w:t>
      </w:r>
    </w:p>
    <w:p w14:paraId="2D07CF3F" w14:textId="17B9F39A" w:rsidR="003455DB" w:rsidRDefault="003455DB" w:rsidP="003455DB"/>
    <w:p w14:paraId="4C2A542E" w14:textId="5B0B5DE6" w:rsidR="003455DB" w:rsidRPr="003455DB" w:rsidRDefault="003455DB" w:rsidP="003455DB">
      <w:pPr>
        <w:rPr>
          <w:rFonts w:cs="Segoe UI"/>
          <w:color w:val="000000"/>
          <w:sz w:val="24"/>
          <w:szCs w:val="24"/>
          <w:shd w:val="clear" w:color="auto" w:fill="FFFFFF"/>
        </w:rPr>
      </w:pPr>
      <w:r w:rsidRPr="003455DB">
        <w:rPr>
          <w:noProof/>
          <w:sz w:val="24"/>
          <w:szCs w:val="24"/>
        </w:rPr>
        <mc:AlternateContent>
          <mc:Choice Requires="wps">
            <w:drawing>
              <wp:anchor distT="45720" distB="45720" distL="114300" distR="114300" simplePos="0" relativeHeight="251667456" behindDoc="0" locked="0" layoutInCell="1" allowOverlap="1" wp14:anchorId="6C431E56" wp14:editId="1EA69B7C">
                <wp:simplePos x="0" y="0"/>
                <wp:positionH relativeFrom="margin">
                  <wp:align>right</wp:align>
                </wp:positionH>
                <wp:positionV relativeFrom="paragraph">
                  <wp:posOffset>251460</wp:posOffset>
                </wp:positionV>
                <wp:extent cx="5715000" cy="1404620"/>
                <wp:effectExtent l="0" t="0" r="19050" b="13970"/>
                <wp:wrapSquare wrapText="bothSides"/>
                <wp:docPr id="17742079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0265471" w14:textId="77777777" w:rsidR="003455DB" w:rsidRDefault="003455DB" w:rsidP="003455D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431E56" id="_x0000_s1029" type="#_x0000_t202" style="position:absolute;margin-left:398.8pt;margin-top:19.8pt;width:450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duGAIAACc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">
                <v:textbox style="mso-fit-shape-to-text:t">
                  <w:txbxContent>
                    <w:p w14:paraId="20265471" w14:textId="77777777" w:rsidR="003455DB" w:rsidRDefault="003455DB" w:rsidP="003455DB"/>
                  </w:txbxContent>
                </v:textbox>
                <w10:wrap type="square" anchorx="margin"/>
              </v:shape>
            </w:pict>
          </mc:Fallback>
        </mc:AlternateContent>
      </w:r>
      <w:r w:rsidRPr="003455DB">
        <w:rPr>
          <w:rFonts w:cs="Segoe UI"/>
          <w:color w:val="000000"/>
          <w:sz w:val="24"/>
          <w:szCs w:val="24"/>
          <w:shd w:val="clear" w:color="auto" w:fill="FFFFFF"/>
        </w:rPr>
        <w:t>What section of the Plan do you wish to comment on?</w:t>
      </w:r>
    </w:p>
    <w:p w14:paraId="3CF50DFC" w14:textId="69C6D555" w:rsidR="003455DB" w:rsidRDefault="003455DB" w:rsidP="003455DB">
      <w:pPr>
        <w:rPr>
          <w:sz w:val="24"/>
          <w:szCs w:val="24"/>
        </w:rPr>
      </w:pPr>
    </w:p>
    <w:p w14:paraId="51051A7F" w14:textId="5E1E1DD7" w:rsidR="003455DB" w:rsidRDefault="003455DB" w:rsidP="003455DB">
      <w:pPr>
        <w:rPr>
          <w:sz w:val="24"/>
          <w:szCs w:val="24"/>
        </w:rPr>
      </w:pPr>
      <w:r w:rsidRPr="00F2320D">
        <w:rPr>
          <w:noProof/>
          <w:sz w:val="24"/>
          <w:szCs w:val="24"/>
        </w:rPr>
        <mc:AlternateContent>
          <mc:Choice Requires="wps">
            <w:drawing>
              <wp:anchor distT="45720" distB="45720" distL="114300" distR="114300" simplePos="0" relativeHeight="251669504" behindDoc="0" locked="0" layoutInCell="1" allowOverlap="1" wp14:anchorId="2EB68439" wp14:editId="3D443C84">
                <wp:simplePos x="0" y="0"/>
                <wp:positionH relativeFrom="margin">
                  <wp:align>right</wp:align>
                </wp:positionH>
                <wp:positionV relativeFrom="paragraph">
                  <wp:posOffset>262890</wp:posOffset>
                </wp:positionV>
                <wp:extent cx="5715000" cy="6151245"/>
                <wp:effectExtent l="0" t="0" r="19050" b="20955"/>
                <wp:wrapSquare wrapText="bothSides"/>
                <wp:docPr id="14504497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51418"/>
                        </a:xfrm>
                        <a:prstGeom prst="rect">
                          <a:avLst/>
                        </a:prstGeom>
                        <a:solidFill>
                          <a:srgbClr val="FFFFFF"/>
                        </a:solidFill>
                        <a:ln w="9525">
                          <a:solidFill>
                            <a:srgbClr val="000000"/>
                          </a:solidFill>
                          <a:miter lim="800000"/>
                          <a:headEnd/>
                          <a:tailEnd/>
                        </a:ln>
                      </wps:spPr>
                      <wps:txbx>
                        <w:txbxContent>
                          <w:p w14:paraId="360EF052" w14:textId="77777777" w:rsidR="003455DB" w:rsidRDefault="003455DB" w:rsidP="003455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68439" id="_x0000_s1030" type="#_x0000_t202" style="position:absolute;margin-left:398.8pt;margin-top:20.7pt;width:450pt;height:484.3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">
                <v:textbox>
                  <w:txbxContent>
                    <w:p w14:paraId="360EF052" w14:textId="77777777" w:rsidR="003455DB" w:rsidRDefault="003455DB" w:rsidP="003455DB"/>
                  </w:txbxContent>
                </v:textbox>
                <w10:wrap type="square" anchorx="margin"/>
              </v:shape>
            </w:pict>
          </mc:Fallback>
        </mc:AlternateContent>
      </w:r>
      <w:r>
        <w:rPr>
          <w:sz w:val="24"/>
          <w:szCs w:val="24"/>
        </w:rPr>
        <w:t>Please write your comment below</w:t>
      </w:r>
    </w:p>
    <w:p w14:paraId="60561882" w14:textId="77777777" w:rsidR="007A30CA" w:rsidRDefault="007A30CA" w:rsidP="003455DB">
      <w:pPr>
        <w:rPr>
          <w:sz w:val="24"/>
          <w:szCs w:val="24"/>
        </w:rPr>
      </w:pPr>
    </w:p>
    <w:p w14:paraId="28AFA16E" w14:textId="74D0CCBA" w:rsidR="007A30CA" w:rsidRPr="001B51BE" w:rsidRDefault="007A30CA" w:rsidP="003455DB">
      <w:pPr>
        <w:rPr>
          <w:b/>
          <w:bCs/>
          <w:sz w:val="24"/>
          <w:szCs w:val="24"/>
        </w:rPr>
      </w:pPr>
      <w:r w:rsidRPr="001B51BE">
        <w:rPr>
          <w:b/>
          <w:bCs/>
          <w:sz w:val="24"/>
          <w:szCs w:val="24"/>
        </w:rPr>
        <w:t xml:space="preserve">If you would like to provide a further comment, please print this page again </w:t>
      </w:r>
    </w:p>
    <w:p w14:paraId="7D63DA04" w14:textId="31361FA2" w:rsidR="007A30CA" w:rsidRDefault="007A30CA" w:rsidP="007A30CA">
      <w:pPr>
        <w:pStyle w:val="Heading2"/>
        <w:rPr>
          <w:shd w:val="clear" w:color="auto" w:fill="FFFFFF"/>
        </w:rPr>
      </w:pPr>
      <w:r>
        <w:rPr>
          <w:sz w:val="24"/>
          <w:szCs w:val="24"/>
        </w:rPr>
        <w:br w:type="page"/>
      </w:r>
      <w:r>
        <w:rPr>
          <w:shd w:val="clear" w:color="auto" w:fill="FFFFFF"/>
        </w:rPr>
        <w:t>What next?</w:t>
      </w:r>
    </w:p>
    <w:p w14:paraId="211F4C59" w14:textId="77777777" w:rsidR="007A30CA" w:rsidRPr="007A30CA" w:rsidRDefault="007A30CA" w:rsidP="007A30CA"/>
    <w:p w14:paraId="50950F49" w14:textId="70DC76F8" w:rsidR="007A30CA" w:rsidRPr="007A30CA" w:rsidRDefault="007A30CA" w:rsidP="007A30CA">
      <w:pPr>
        <w:spacing w:after="0" w:line="240" w:lineRule="auto"/>
        <w:rPr>
          <w:rFonts w:eastAsia="Times New Roman" w:cs="Segoe UI"/>
          <w:color w:val="000000"/>
          <w:kern w:val="0"/>
          <w:sz w:val="24"/>
          <w:szCs w:val="24"/>
          <w:lang w:eastAsia="en-GB"/>
          <w14:ligatures w14:val="none"/>
        </w:rPr>
      </w:pPr>
      <w:r w:rsidRPr="007A30CA">
        <w:rPr>
          <w:rFonts w:eastAsia="Times New Roman" w:cs="Segoe UI"/>
          <w:color w:val="000000"/>
          <w:kern w:val="0"/>
          <w:sz w:val="24"/>
          <w:szCs w:val="24"/>
          <w:lang w:eastAsia="en-GB"/>
          <w14:ligatures w14:val="none"/>
        </w:rPr>
        <w:t>At the end of the consultation, the Neighbourhood Plan will be submitted to an Independent Examiner for consideration and their report will determine if the Plan can go forward to a Referendum</w:t>
      </w:r>
      <w:r w:rsidR="002C66E3">
        <w:rPr>
          <w:rFonts w:eastAsia="Times New Roman" w:cs="Segoe UI"/>
          <w:color w:val="000000"/>
          <w:kern w:val="0"/>
          <w:sz w:val="24"/>
          <w:szCs w:val="24"/>
          <w:lang w:eastAsia="en-GB"/>
          <w14:ligatures w14:val="none"/>
        </w:rPr>
        <w:t xml:space="preserve">, </w:t>
      </w:r>
      <w:r w:rsidRPr="007A30CA">
        <w:rPr>
          <w:rFonts w:eastAsia="Times New Roman" w:cs="Segoe UI"/>
          <w:color w:val="000000"/>
          <w:kern w:val="0"/>
          <w:sz w:val="24"/>
          <w:szCs w:val="24"/>
          <w:lang w:eastAsia="en-GB"/>
          <w14:ligatures w14:val="none"/>
        </w:rPr>
        <w:t>which local residents will get the opportunity to vote on. </w:t>
      </w:r>
    </w:p>
    <w:p w14:paraId="2ADAC7AC" w14:textId="774B9058" w:rsidR="007A30CA" w:rsidRPr="007A30CA" w:rsidRDefault="007A30CA" w:rsidP="007A30CA">
      <w:pPr>
        <w:rPr>
          <w:sz w:val="24"/>
          <w:szCs w:val="24"/>
        </w:rPr>
      </w:pPr>
      <w:r w:rsidRPr="007A30CA">
        <w:rPr>
          <w:rFonts w:eastAsia="Times New Roman" w:cs="Segoe UI"/>
          <w:color w:val="000000"/>
          <w:kern w:val="0"/>
          <w:sz w:val="24"/>
          <w:szCs w:val="24"/>
          <w:lang w:eastAsia="en-GB"/>
          <w14:ligatures w14:val="none"/>
        </w:rPr>
        <w:br/>
        <w:t xml:space="preserve">Comments received will be collated and sent to the Independent Examiner, together </w:t>
      </w:r>
      <w:r w:rsidR="002C66E3">
        <w:rPr>
          <w:rFonts w:eastAsia="Times New Roman" w:cs="Segoe UI"/>
          <w:color w:val="000000"/>
          <w:kern w:val="0"/>
          <w:sz w:val="24"/>
          <w:szCs w:val="24"/>
          <w:lang w:eastAsia="en-GB"/>
          <w14:ligatures w14:val="none"/>
        </w:rPr>
        <w:t xml:space="preserve">with </w:t>
      </w:r>
      <w:r w:rsidRPr="007A30CA">
        <w:rPr>
          <w:rFonts w:eastAsia="Times New Roman" w:cs="Segoe UI"/>
          <w:color w:val="000000"/>
          <w:kern w:val="0"/>
          <w:sz w:val="24"/>
          <w:szCs w:val="24"/>
          <w:lang w:eastAsia="en-GB"/>
          <w14:ligatures w14:val="none"/>
        </w:rPr>
        <w:t xml:space="preserve">all </w:t>
      </w:r>
      <w:r w:rsidR="00EE6AEB" w:rsidRPr="007A30CA">
        <w:rPr>
          <w:rFonts w:eastAsia="Times New Roman" w:cs="Segoe UI"/>
          <w:color w:val="000000"/>
          <w:kern w:val="0"/>
          <w:sz w:val="24"/>
          <w:szCs w:val="24"/>
          <w:lang w:eastAsia="en-GB"/>
          <w14:ligatures w14:val="none"/>
        </w:rPr>
        <w:t>comments</w:t>
      </w:r>
      <w:r w:rsidR="00EE6AEB">
        <w:rPr>
          <w:rFonts w:eastAsia="Times New Roman" w:cs="Segoe UI"/>
          <w:color w:val="000000"/>
          <w:kern w:val="0"/>
          <w:sz w:val="24"/>
          <w:szCs w:val="24"/>
          <w:lang w:eastAsia="en-GB"/>
          <w14:ligatures w14:val="none"/>
        </w:rPr>
        <w:t xml:space="preserve"> that were </w:t>
      </w:r>
      <w:r>
        <w:rPr>
          <w:rFonts w:eastAsia="Times New Roman" w:cs="Segoe UI"/>
          <w:color w:val="000000"/>
          <w:kern w:val="0"/>
          <w:sz w:val="24"/>
          <w:szCs w:val="24"/>
          <w:lang w:eastAsia="en-GB"/>
          <w14:ligatures w14:val="none"/>
        </w:rPr>
        <w:t>previously</w:t>
      </w:r>
      <w:r w:rsidR="00EE6AEB">
        <w:rPr>
          <w:rFonts w:eastAsia="Times New Roman" w:cs="Segoe UI"/>
          <w:color w:val="000000"/>
          <w:kern w:val="0"/>
          <w:sz w:val="24"/>
          <w:szCs w:val="24"/>
          <w:lang w:eastAsia="en-GB"/>
          <w14:ligatures w14:val="none"/>
        </w:rPr>
        <w:t xml:space="preserve"> submitted</w:t>
      </w:r>
      <w:r w:rsidRPr="007A30CA">
        <w:rPr>
          <w:rFonts w:eastAsia="Times New Roman" w:cs="Segoe UI"/>
          <w:color w:val="000000"/>
          <w:kern w:val="0"/>
          <w:sz w:val="24"/>
          <w:szCs w:val="24"/>
          <w:lang w:eastAsia="en-GB"/>
          <w14:ligatures w14:val="none"/>
        </w:rPr>
        <w:t xml:space="preserve"> in last year’s Regulation-16 consultation. This means that they will only be considered within the remit of the Independent Examination (i.e. whether the Neighbourhood Plan proposal meets the set of conditions as set out by law).</w:t>
      </w:r>
    </w:p>
    <w:sectPr w:rsidR="007A30CA" w:rsidRPr="007A3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03EF2"/>
    <w:multiLevelType w:val="hybridMultilevel"/>
    <w:tmpl w:val="288868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15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F1"/>
    <w:rsid w:val="00073C73"/>
    <w:rsid w:val="000819B2"/>
    <w:rsid w:val="000B286E"/>
    <w:rsid w:val="001932D7"/>
    <w:rsid w:val="001B51BE"/>
    <w:rsid w:val="00204097"/>
    <w:rsid w:val="002C66E3"/>
    <w:rsid w:val="0031730D"/>
    <w:rsid w:val="003455DB"/>
    <w:rsid w:val="00384B8A"/>
    <w:rsid w:val="003E4C7F"/>
    <w:rsid w:val="00532185"/>
    <w:rsid w:val="005E1770"/>
    <w:rsid w:val="006D1B55"/>
    <w:rsid w:val="006E2C0B"/>
    <w:rsid w:val="00751AE5"/>
    <w:rsid w:val="007A30CA"/>
    <w:rsid w:val="007C05B0"/>
    <w:rsid w:val="0083116C"/>
    <w:rsid w:val="009020F1"/>
    <w:rsid w:val="009D20A5"/>
    <w:rsid w:val="00A6580E"/>
    <w:rsid w:val="00B02F65"/>
    <w:rsid w:val="00EA64CA"/>
    <w:rsid w:val="00EB043E"/>
    <w:rsid w:val="00EB7AF1"/>
    <w:rsid w:val="00EE6AEB"/>
    <w:rsid w:val="00F02D16"/>
    <w:rsid w:val="00F2320D"/>
    <w:rsid w:val="00F32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8129"/>
  <w15:chartTrackingRefBased/>
  <w15:docId w15:val="{4E618D91-C2E1-4280-9D1D-A6AD3CA6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0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20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0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0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0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0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0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0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0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0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20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0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0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0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0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0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0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0F1"/>
    <w:rPr>
      <w:rFonts w:eastAsiaTheme="majorEastAsia" w:cstheme="majorBidi"/>
      <w:color w:val="272727" w:themeColor="text1" w:themeTint="D8"/>
    </w:rPr>
  </w:style>
  <w:style w:type="paragraph" w:styleId="Title">
    <w:name w:val="Title"/>
    <w:basedOn w:val="Normal"/>
    <w:next w:val="Normal"/>
    <w:link w:val="TitleChar"/>
    <w:uiPriority w:val="10"/>
    <w:qFormat/>
    <w:rsid w:val="00902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0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0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0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0F1"/>
    <w:pPr>
      <w:spacing w:before="160"/>
      <w:jc w:val="center"/>
    </w:pPr>
    <w:rPr>
      <w:i/>
      <w:iCs/>
      <w:color w:val="404040" w:themeColor="text1" w:themeTint="BF"/>
    </w:rPr>
  </w:style>
  <w:style w:type="character" w:customStyle="1" w:styleId="QuoteChar">
    <w:name w:val="Quote Char"/>
    <w:basedOn w:val="DefaultParagraphFont"/>
    <w:link w:val="Quote"/>
    <w:uiPriority w:val="29"/>
    <w:rsid w:val="009020F1"/>
    <w:rPr>
      <w:i/>
      <w:iCs/>
      <w:color w:val="404040" w:themeColor="text1" w:themeTint="BF"/>
    </w:rPr>
  </w:style>
  <w:style w:type="paragraph" w:styleId="ListParagraph">
    <w:name w:val="List Paragraph"/>
    <w:basedOn w:val="Normal"/>
    <w:uiPriority w:val="34"/>
    <w:qFormat/>
    <w:rsid w:val="009020F1"/>
    <w:pPr>
      <w:ind w:left="720"/>
      <w:contextualSpacing/>
    </w:pPr>
  </w:style>
  <w:style w:type="character" w:styleId="IntenseEmphasis">
    <w:name w:val="Intense Emphasis"/>
    <w:basedOn w:val="DefaultParagraphFont"/>
    <w:uiPriority w:val="21"/>
    <w:qFormat/>
    <w:rsid w:val="009020F1"/>
    <w:rPr>
      <w:i/>
      <w:iCs/>
      <w:color w:val="0F4761" w:themeColor="accent1" w:themeShade="BF"/>
    </w:rPr>
  </w:style>
  <w:style w:type="paragraph" w:styleId="IntenseQuote">
    <w:name w:val="Intense Quote"/>
    <w:basedOn w:val="Normal"/>
    <w:next w:val="Normal"/>
    <w:link w:val="IntenseQuoteChar"/>
    <w:uiPriority w:val="30"/>
    <w:qFormat/>
    <w:rsid w:val="00902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0F1"/>
    <w:rPr>
      <w:i/>
      <w:iCs/>
      <w:color w:val="0F4761" w:themeColor="accent1" w:themeShade="BF"/>
    </w:rPr>
  </w:style>
  <w:style w:type="character" w:styleId="IntenseReference">
    <w:name w:val="Intense Reference"/>
    <w:basedOn w:val="DefaultParagraphFont"/>
    <w:uiPriority w:val="32"/>
    <w:qFormat/>
    <w:rsid w:val="009020F1"/>
    <w:rPr>
      <w:b/>
      <w:bCs/>
      <w:smallCaps/>
      <w:color w:val="0F4761" w:themeColor="accent1" w:themeShade="BF"/>
      <w:spacing w:val="5"/>
    </w:rPr>
  </w:style>
  <w:style w:type="character" w:styleId="Hyperlink">
    <w:name w:val="Hyperlink"/>
    <w:basedOn w:val="DefaultParagraphFont"/>
    <w:uiPriority w:val="99"/>
    <w:unhideWhenUsed/>
    <w:rsid w:val="00384B8A"/>
    <w:rPr>
      <w:color w:val="467886" w:themeColor="hyperlink"/>
      <w:u w:val="single"/>
    </w:rPr>
  </w:style>
  <w:style w:type="character" w:styleId="UnresolvedMention">
    <w:name w:val="Unresolved Mention"/>
    <w:basedOn w:val="DefaultParagraphFont"/>
    <w:uiPriority w:val="99"/>
    <w:semiHidden/>
    <w:unhideWhenUsed/>
    <w:rsid w:val="00A6580E"/>
    <w:rPr>
      <w:color w:val="605E5C"/>
      <w:shd w:val="clear" w:color="auto" w:fill="E1DFDD"/>
    </w:rPr>
  </w:style>
  <w:style w:type="table" w:styleId="TableGrid">
    <w:name w:val="Table Grid"/>
    <w:basedOn w:val="TableNormal"/>
    <w:uiPriority w:val="39"/>
    <w:rsid w:val="00F23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66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57579">
      <w:bodyDiv w:val="1"/>
      <w:marLeft w:val="0"/>
      <w:marRight w:val="0"/>
      <w:marTop w:val="0"/>
      <w:marBottom w:val="0"/>
      <w:divBdr>
        <w:top w:val="none" w:sz="0" w:space="0" w:color="auto"/>
        <w:left w:val="none" w:sz="0" w:space="0" w:color="auto"/>
        <w:bottom w:val="none" w:sz="0" w:space="0" w:color="auto"/>
        <w:right w:val="none" w:sz="0" w:space="0" w:color="auto"/>
      </w:divBdr>
    </w:div>
    <w:div w:id="211127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ltenham.gov.uk/consultations"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heltenham.gov.uk/your-data" TargetMode="External"/><Relationship Id="rId4" Type="http://schemas.openxmlformats.org/officeDocument/2006/relationships/settings" Target="settings.xml"/><Relationship Id="rId9" Type="http://schemas.openxmlformats.org/officeDocument/2006/relationships/hyperlink" Target="https://www.cheltenham.gov.uk/downloads/download/2046/draft_leckhampton_with_warden_hill_neighbourhood_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1B7E-D87A-42BF-8540-BCC93A8F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220ICT Shared Services</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Leckhampton with Warden Hill Parish Council neighbourhood plan consultation form</dc:title>
  <dc:subject/>
  <dc:creator>Daniel ONeill</dc:creator>
  <cp:keywords/>
  <dc:description/>
  <cp:lastModifiedBy>Maxine McGowan</cp:lastModifiedBy>
  <cp:revision>4</cp:revision>
  <dcterms:created xsi:type="dcterms:W3CDTF">2025-04-09T10:38:00Z</dcterms:created>
  <dcterms:modified xsi:type="dcterms:W3CDTF">2025-04-09T11:04:00Z</dcterms:modified>
</cp:coreProperties>
</file>