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AC91" w14:textId="48B2B705" w:rsidR="00FC1CFC" w:rsidRPr="00C25350" w:rsidRDefault="00323D5F" w:rsidP="0054419B">
      <w:pPr>
        <w:pStyle w:val="Mainheading"/>
        <w:ind w:left="0" w:firstLine="0"/>
        <w:rPr>
          <w:rFonts w:ascii="Arial" w:hAnsi="Arial" w:cs="Arial"/>
        </w:rPr>
      </w:pPr>
      <w:r w:rsidRPr="00C25350">
        <w:rPr>
          <w:rFonts w:ascii="Arial" w:hAnsi="Arial" w:cs="Arial"/>
          <w:sz w:val="36"/>
        </w:rPr>
        <w:t>Annual Status Report</w:t>
      </w:r>
      <w:r w:rsidR="00FC1CFC" w:rsidRPr="00C25350">
        <w:rPr>
          <w:rFonts w:ascii="Arial" w:hAnsi="Arial" w:cs="Arial"/>
          <w:sz w:val="36"/>
        </w:rPr>
        <w:t xml:space="preserve"> Appraisal Report</w:t>
      </w:r>
    </w:p>
    <w:p w14:paraId="2BA700DB" w14:textId="77777777" w:rsidR="00FC1CFC" w:rsidRPr="00C25350" w:rsidRDefault="00FC1CFC" w:rsidP="0054419B">
      <w:pPr>
        <w:pStyle w:val="Indent1"/>
        <w:ind w:right="509"/>
        <w:rPr>
          <w:rFonts w:ascii="Arial" w:hAnsi="Arial" w:cs="Arial"/>
          <w:sz w:val="22"/>
        </w:rPr>
      </w:pPr>
    </w:p>
    <w:p w14:paraId="4CACE16C" w14:textId="7F377ADC" w:rsidR="00457D0C" w:rsidRPr="008D0DE0" w:rsidRDefault="006A3603" w:rsidP="0095259E">
      <w:pPr>
        <w:pStyle w:val="Indent1"/>
        <w:spacing w:after="240"/>
        <w:ind w:left="0" w:firstLine="0"/>
        <w:rPr>
          <w:rFonts w:ascii="Arial" w:hAnsi="Arial" w:cs="Arial"/>
          <w:sz w:val="22"/>
          <w:szCs w:val="22"/>
        </w:rPr>
      </w:pPr>
      <w:r w:rsidRPr="008D0DE0">
        <w:rPr>
          <w:rFonts w:ascii="Arial" w:hAnsi="Arial" w:cs="Arial"/>
          <w:sz w:val="22"/>
          <w:szCs w:val="22"/>
        </w:rPr>
        <w:t>The</w:t>
      </w:r>
      <w:r w:rsidR="00520FAC" w:rsidRPr="008D0DE0">
        <w:rPr>
          <w:rFonts w:ascii="Arial" w:hAnsi="Arial" w:cs="Arial"/>
          <w:sz w:val="22"/>
          <w:szCs w:val="22"/>
        </w:rPr>
        <w:t xml:space="preserve"> Annual Status</w:t>
      </w:r>
      <w:r w:rsidRPr="008D0DE0">
        <w:rPr>
          <w:rFonts w:ascii="Arial" w:hAnsi="Arial" w:cs="Arial"/>
          <w:sz w:val="22"/>
          <w:szCs w:val="22"/>
        </w:rPr>
        <w:t xml:space="preserve"> Report</w:t>
      </w:r>
      <w:r w:rsidR="00457D0C" w:rsidRPr="008D0DE0">
        <w:rPr>
          <w:rFonts w:ascii="Arial" w:hAnsi="Arial" w:cs="Arial"/>
          <w:sz w:val="22"/>
          <w:szCs w:val="22"/>
        </w:rPr>
        <w:t xml:space="preserve"> sets out new information on air quality obtained by </w:t>
      </w:r>
      <w:r w:rsidR="008D0DE0" w:rsidRPr="008D0DE0">
        <w:rPr>
          <w:rFonts w:ascii="Arial" w:hAnsi="Arial" w:cs="Arial"/>
          <w:sz w:val="22"/>
          <w:szCs w:val="22"/>
        </w:rPr>
        <w:t>Cheltenham Borough</w:t>
      </w:r>
      <w:r w:rsidR="00457D0C" w:rsidRPr="008D0DE0">
        <w:rPr>
          <w:rFonts w:ascii="Arial" w:hAnsi="Arial" w:cs="Arial"/>
          <w:sz w:val="22"/>
          <w:szCs w:val="22"/>
        </w:rPr>
        <w:t xml:space="preserve"> Council</w:t>
      </w:r>
      <w:r w:rsidR="006A10AC">
        <w:rPr>
          <w:rFonts w:ascii="Arial" w:hAnsi="Arial" w:cs="Arial"/>
          <w:sz w:val="22"/>
          <w:szCs w:val="22"/>
        </w:rPr>
        <w:t xml:space="preserve"> (CBC)</w:t>
      </w:r>
      <w:r w:rsidR="00457D0C" w:rsidRPr="008D0DE0">
        <w:rPr>
          <w:rFonts w:ascii="Arial" w:hAnsi="Arial" w:cs="Arial"/>
          <w:sz w:val="22"/>
          <w:szCs w:val="22"/>
        </w:rPr>
        <w:t xml:space="preserve"> as part of the Review &amp; Assessment process required under the Environment Act 1995 (as amended by the Environment Act 2021) and subsequent Regulations.</w:t>
      </w:r>
    </w:p>
    <w:p w14:paraId="025FC8DD" w14:textId="6E46C998" w:rsidR="00B0770F" w:rsidRDefault="00AC0865" w:rsidP="0095259E">
      <w:pPr>
        <w:pStyle w:val="Indent1"/>
        <w:spacing w:after="240"/>
        <w:ind w:left="0" w:firstLine="0"/>
        <w:rPr>
          <w:rFonts w:ascii="Arial" w:hAnsi="Arial" w:cs="Arial"/>
          <w:sz w:val="22"/>
          <w:szCs w:val="22"/>
        </w:rPr>
      </w:pPr>
      <w:r w:rsidRPr="00202C36">
        <w:rPr>
          <w:rFonts w:ascii="Arial" w:hAnsi="Arial" w:cs="Arial"/>
          <w:sz w:val="22"/>
          <w:szCs w:val="22"/>
        </w:rPr>
        <w:t xml:space="preserve">CBC currently have one Air Quality Management Area (AQMA) declared for exceedances of the </w:t>
      </w:r>
      <w:r w:rsidRPr="00202C36">
        <w:rPr>
          <w:rFonts w:ascii="Arial" w:hAnsi="Arial" w:cstheme="minorHAnsi"/>
          <w:sz w:val="22"/>
          <w:szCs w:val="22"/>
        </w:rPr>
        <w:t>NO</w:t>
      </w:r>
      <w:r w:rsidRPr="00202C36">
        <w:rPr>
          <w:rFonts w:ascii="Arial" w:hAnsi="Arial" w:cstheme="minorHAnsi"/>
          <w:sz w:val="22"/>
          <w:szCs w:val="22"/>
          <w:vertAlign w:val="subscript"/>
        </w:rPr>
        <w:t>2</w:t>
      </w:r>
      <w:r w:rsidRPr="00202C36">
        <w:rPr>
          <w:rFonts w:ascii="Arial" w:hAnsi="Arial" w:cs="Arial"/>
          <w:sz w:val="22"/>
          <w:szCs w:val="22"/>
        </w:rPr>
        <w:t xml:space="preserve"> annual mean </w:t>
      </w:r>
      <w:r w:rsidR="006A10AC" w:rsidRPr="00202C36">
        <w:rPr>
          <w:rFonts w:ascii="Arial" w:hAnsi="Arial" w:cs="Arial"/>
          <w:sz w:val="22"/>
          <w:szCs w:val="22"/>
        </w:rPr>
        <w:t xml:space="preserve">air quality </w:t>
      </w:r>
      <w:r w:rsidRPr="00202C36">
        <w:rPr>
          <w:rFonts w:ascii="Arial" w:hAnsi="Arial" w:cs="Arial"/>
          <w:sz w:val="22"/>
          <w:szCs w:val="22"/>
        </w:rPr>
        <w:t>objective</w:t>
      </w:r>
      <w:r w:rsidR="006A10AC" w:rsidRPr="00202C36">
        <w:rPr>
          <w:rFonts w:ascii="Arial" w:hAnsi="Arial" w:cs="Arial"/>
          <w:sz w:val="22"/>
          <w:szCs w:val="22"/>
        </w:rPr>
        <w:t xml:space="preserve"> (AQO)</w:t>
      </w:r>
      <w:r w:rsidRPr="00202C36">
        <w:rPr>
          <w:rFonts w:ascii="Arial" w:hAnsi="Arial" w:cs="Arial"/>
          <w:sz w:val="22"/>
          <w:szCs w:val="22"/>
        </w:rPr>
        <w:t xml:space="preserve">. </w:t>
      </w:r>
      <w:r w:rsidR="00402960" w:rsidRPr="00202C36">
        <w:rPr>
          <w:rFonts w:ascii="Arial" w:hAnsi="Arial" w:cs="Arial"/>
          <w:sz w:val="22"/>
          <w:szCs w:val="22"/>
        </w:rPr>
        <w:t xml:space="preserve">The Cheltenham Borough Council AQMA 2020 </w:t>
      </w:r>
      <w:r w:rsidR="00F1011A" w:rsidRPr="00202C36">
        <w:rPr>
          <w:rFonts w:ascii="Arial" w:hAnsi="Arial" w:cs="Arial"/>
          <w:sz w:val="22"/>
          <w:szCs w:val="22"/>
        </w:rPr>
        <w:t xml:space="preserve">was declared in 2020 </w:t>
      </w:r>
      <w:r w:rsidR="00447733" w:rsidRPr="00202C36">
        <w:rPr>
          <w:rFonts w:ascii="Arial MT" w:eastAsia="Arial MT" w:hAnsi="Arial MT" w:cs="Arial MT"/>
          <w:sz w:val="22"/>
          <w:szCs w:val="22"/>
          <w:lang w:val="en-US" w:eastAsia="en-US"/>
        </w:rPr>
        <w:t xml:space="preserve">following the revocation of the borough-wide </w:t>
      </w:r>
      <w:r w:rsidR="00202C36" w:rsidRPr="00202C36">
        <w:rPr>
          <w:rFonts w:ascii="Arial MT" w:eastAsia="Arial MT" w:hAnsi="Arial MT" w:cs="Arial MT"/>
          <w:sz w:val="22"/>
          <w:szCs w:val="22"/>
          <w:lang w:val="en-US" w:eastAsia="en-US"/>
        </w:rPr>
        <w:t>AQMA</w:t>
      </w:r>
      <w:r w:rsidR="00202C36" w:rsidRPr="00202C36">
        <w:rPr>
          <w:rFonts w:ascii="Arial" w:hAnsi="Arial" w:cs="Arial"/>
          <w:sz w:val="22"/>
          <w:szCs w:val="22"/>
          <w:lang w:val="en-US"/>
        </w:rPr>
        <w:t xml:space="preserve"> and</w:t>
      </w:r>
      <w:r w:rsidR="00F1011A" w:rsidRPr="00202C36">
        <w:rPr>
          <w:rFonts w:ascii="Arial" w:hAnsi="Arial" w:cs="Arial"/>
          <w:sz w:val="22"/>
          <w:szCs w:val="22"/>
        </w:rPr>
        <w:t xml:space="preserve"> is described </w:t>
      </w:r>
      <w:r w:rsidR="009579DC" w:rsidRPr="00202C36">
        <w:rPr>
          <w:rFonts w:ascii="Arial" w:hAnsi="Arial" w:cs="Arial"/>
          <w:sz w:val="22"/>
          <w:szCs w:val="22"/>
        </w:rPr>
        <w:t>a</w:t>
      </w:r>
      <w:r w:rsidR="009579DC">
        <w:rPr>
          <w:rFonts w:ascii="Arial" w:hAnsi="Arial" w:cs="Arial"/>
          <w:sz w:val="22"/>
          <w:szCs w:val="22"/>
        </w:rPr>
        <w:t>s</w:t>
      </w:r>
      <w:r w:rsidR="009579DC" w:rsidRPr="00202C36">
        <w:rPr>
          <w:rFonts w:ascii="Arial" w:hAnsi="Arial" w:cs="Arial"/>
          <w:sz w:val="22"/>
          <w:szCs w:val="22"/>
        </w:rPr>
        <w:t xml:space="preserve"> </w:t>
      </w:r>
      <w:r w:rsidR="00F1011A" w:rsidRPr="00202C36">
        <w:rPr>
          <w:rFonts w:ascii="Arial" w:hAnsi="Arial" w:cs="Arial"/>
          <w:sz w:val="22"/>
          <w:szCs w:val="22"/>
        </w:rPr>
        <w:t>‘an area including properties with a façade fronting onto: High Street from Junction of Gloucester Road and Tewkesbury Road to Junction of Burton Street; Poole Way</w:t>
      </w:r>
      <w:r w:rsidR="00F77744" w:rsidRPr="00202C36">
        <w:rPr>
          <w:rFonts w:ascii="Arial" w:hAnsi="Arial" w:cs="Arial"/>
          <w:sz w:val="22"/>
          <w:szCs w:val="22"/>
        </w:rPr>
        <w:t>; and Swindon Road from junction of Poole Way to St Georges Street’.</w:t>
      </w:r>
      <w:r w:rsidR="00F77744">
        <w:rPr>
          <w:rFonts w:ascii="Arial" w:hAnsi="Arial" w:cs="Arial"/>
          <w:sz w:val="22"/>
          <w:szCs w:val="22"/>
        </w:rPr>
        <w:t xml:space="preserve"> </w:t>
      </w:r>
    </w:p>
    <w:p w14:paraId="63F5A9B7" w14:textId="2CB0C168" w:rsidR="00FB6681" w:rsidRPr="00C01426" w:rsidRDefault="00EA7051" w:rsidP="0095259E">
      <w:pPr>
        <w:pStyle w:val="Indent1"/>
        <w:spacing w:after="240"/>
        <w:ind w:left="0" w:firstLine="0"/>
        <w:rPr>
          <w:rFonts w:ascii="Arial" w:hAnsi="Arial" w:cs="Arial"/>
          <w:sz w:val="22"/>
          <w:szCs w:val="22"/>
        </w:rPr>
      </w:pPr>
      <w:r>
        <w:rPr>
          <w:rFonts w:ascii="Arial" w:hAnsi="Arial" w:cs="Arial"/>
          <w:sz w:val="22"/>
          <w:szCs w:val="22"/>
        </w:rPr>
        <w:t>C</w:t>
      </w:r>
      <w:r w:rsidR="001F2B17">
        <w:rPr>
          <w:rFonts w:ascii="Arial" w:hAnsi="Arial" w:cs="Arial"/>
          <w:sz w:val="22"/>
          <w:szCs w:val="22"/>
        </w:rPr>
        <w:t xml:space="preserve">BC </w:t>
      </w:r>
      <w:r w:rsidR="00A403F1">
        <w:rPr>
          <w:rFonts w:ascii="Arial" w:hAnsi="Arial" w:cs="Arial"/>
          <w:sz w:val="22"/>
          <w:szCs w:val="22"/>
        </w:rPr>
        <w:t>in 2024 recor</w:t>
      </w:r>
      <w:r w:rsidR="00B85BAE">
        <w:rPr>
          <w:rFonts w:ascii="Arial" w:hAnsi="Arial" w:cs="Arial"/>
          <w:sz w:val="22"/>
          <w:szCs w:val="22"/>
        </w:rPr>
        <w:t>ded NO</w:t>
      </w:r>
      <w:r w:rsidR="00B85BAE">
        <w:rPr>
          <w:rFonts w:ascii="Arial" w:hAnsi="Arial" w:cs="Arial"/>
          <w:sz w:val="22"/>
          <w:szCs w:val="22"/>
          <w:vertAlign w:val="subscript"/>
        </w:rPr>
        <w:t>2</w:t>
      </w:r>
      <w:r w:rsidR="00B85BAE">
        <w:rPr>
          <w:rFonts w:ascii="Arial" w:hAnsi="Arial" w:cs="Arial"/>
          <w:sz w:val="22"/>
          <w:szCs w:val="22"/>
        </w:rPr>
        <w:t xml:space="preserve"> concentrations </w:t>
      </w:r>
      <w:r w:rsidR="00B85BAE" w:rsidRPr="00B85BAE">
        <w:rPr>
          <w:rFonts w:ascii="Arial MT" w:eastAsia="Arial MT" w:hAnsi="Arial MT" w:cs="Arial MT"/>
          <w:position w:val="1"/>
          <w:sz w:val="22"/>
          <w:szCs w:val="22"/>
          <w:lang w:val="en-US" w:eastAsia="en-US"/>
        </w:rPr>
        <w:t xml:space="preserve">passively via a diffusion tube network </w:t>
      </w:r>
      <w:r w:rsidR="00B85BAE" w:rsidRPr="00B85BAE">
        <w:rPr>
          <w:rFonts w:ascii="Arial MT" w:eastAsia="Arial MT" w:hAnsi="Arial MT" w:cs="Arial MT"/>
          <w:sz w:val="22"/>
          <w:szCs w:val="22"/>
          <w:lang w:val="en-US" w:eastAsia="en-US"/>
        </w:rPr>
        <w:t>of 44 sites</w:t>
      </w:r>
      <w:r w:rsidR="00B85BAE" w:rsidRPr="00B85BAE">
        <w:t xml:space="preserve"> </w:t>
      </w:r>
      <w:r w:rsidR="00B85BAE" w:rsidRPr="00B85BAE">
        <w:rPr>
          <w:rFonts w:ascii="Arial MT" w:eastAsia="Arial MT" w:hAnsi="Arial MT" w:cs="Arial MT"/>
          <w:sz w:val="22"/>
          <w:szCs w:val="22"/>
          <w:lang w:val="en-US" w:eastAsia="en-US"/>
        </w:rPr>
        <w:t>including one triplicate site and automatically via a continuous analyser</w:t>
      </w:r>
      <w:r w:rsidR="00B85BAE">
        <w:rPr>
          <w:rFonts w:ascii="Arial MT" w:eastAsia="Arial MT" w:hAnsi="Arial MT" w:cs="Arial MT"/>
          <w:sz w:val="22"/>
          <w:szCs w:val="22"/>
          <w:lang w:val="en-US" w:eastAsia="en-US"/>
        </w:rPr>
        <w:t xml:space="preserve"> at</w:t>
      </w:r>
      <w:r w:rsidR="00B85BAE" w:rsidRPr="00B85BAE">
        <w:rPr>
          <w:rFonts w:ascii="Arial" w:hAnsi="Arial" w:cs="Arial"/>
          <w:sz w:val="22"/>
          <w:szCs w:val="22"/>
        </w:rPr>
        <w:t xml:space="preserve"> </w:t>
      </w:r>
      <w:r w:rsidR="00B85BAE">
        <w:rPr>
          <w:rFonts w:ascii="Arial" w:hAnsi="Arial" w:cs="Arial"/>
          <w:sz w:val="22"/>
          <w:szCs w:val="22"/>
        </w:rPr>
        <w:t>CM1 (Swindon Road)</w:t>
      </w:r>
      <w:r w:rsidR="00A403F1">
        <w:rPr>
          <w:rFonts w:ascii="Arial" w:hAnsi="Arial" w:cs="Arial"/>
          <w:sz w:val="22"/>
          <w:szCs w:val="22"/>
        </w:rPr>
        <w:t xml:space="preserve">. </w:t>
      </w:r>
      <w:r w:rsidR="00B85BAE" w:rsidRPr="00B85BAE">
        <w:rPr>
          <w:rFonts w:ascii="Arial" w:hAnsi="Arial" w:cs="Arial"/>
          <w:sz w:val="22"/>
          <w:szCs w:val="22"/>
        </w:rPr>
        <w:t>All passive and automatic monitoring sites reported NO</w:t>
      </w:r>
      <w:r w:rsidR="00B85BAE" w:rsidRPr="00B85BAE">
        <w:rPr>
          <w:rFonts w:ascii="Arial" w:hAnsi="Arial" w:cs="Arial"/>
          <w:sz w:val="22"/>
          <w:szCs w:val="22"/>
          <w:vertAlign w:val="subscript"/>
        </w:rPr>
        <w:t>2</w:t>
      </w:r>
      <w:r w:rsidR="00B85BAE" w:rsidRPr="00B85BAE">
        <w:rPr>
          <w:rFonts w:ascii="Arial" w:hAnsi="Arial" w:cs="Arial"/>
          <w:sz w:val="22"/>
          <w:szCs w:val="22"/>
        </w:rPr>
        <w:t xml:space="preserve"> annual mean concentrations </w:t>
      </w:r>
      <w:r w:rsidR="009579DC">
        <w:rPr>
          <w:rFonts w:ascii="Arial" w:hAnsi="Arial" w:cs="Arial"/>
          <w:sz w:val="22"/>
          <w:szCs w:val="22"/>
        </w:rPr>
        <w:t>greater</w:t>
      </w:r>
      <w:r w:rsidR="00B85BAE" w:rsidRPr="00B85BAE">
        <w:rPr>
          <w:rFonts w:ascii="Arial" w:hAnsi="Arial" w:cs="Arial"/>
          <w:sz w:val="22"/>
          <w:szCs w:val="22"/>
        </w:rPr>
        <w:t xml:space="preserve"> than 10% below the Air Quality Objective of 40 µg/m</w:t>
      </w:r>
      <w:r w:rsidR="00B85BAE" w:rsidRPr="0009306D">
        <w:rPr>
          <w:rFonts w:ascii="Arial" w:hAnsi="Arial" w:cs="Arial"/>
          <w:sz w:val="22"/>
          <w:szCs w:val="22"/>
          <w:vertAlign w:val="superscript"/>
        </w:rPr>
        <w:t>3</w:t>
      </w:r>
      <w:r w:rsidR="00B85BAE" w:rsidRPr="00B85BAE">
        <w:rPr>
          <w:rFonts w:ascii="Arial" w:hAnsi="Arial" w:cs="Arial"/>
          <w:sz w:val="22"/>
          <w:szCs w:val="22"/>
        </w:rPr>
        <w:t xml:space="preserve"> in 2024 (i.e. under 36 µg/m</w:t>
      </w:r>
      <w:r w:rsidR="00B85BAE" w:rsidRPr="000D5660">
        <w:rPr>
          <w:rFonts w:ascii="Arial" w:hAnsi="Arial" w:cs="Arial"/>
          <w:sz w:val="22"/>
          <w:szCs w:val="22"/>
          <w:vertAlign w:val="superscript"/>
        </w:rPr>
        <w:t>3</w:t>
      </w:r>
      <w:r w:rsidR="00B85BAE" w:rsidRPr="00B85BAE">
        <w:rPr>
          <w:rFonts w:ascii="Arial" w:hAnsi="Arial" w:cs="Arial"/>
          <w:sz w:val="22"/>
          <w:szCs w:val="22"/>
        </w:rPr>
        <w:t>)</w:t>
      </w:r>
      <w:r w:rsidR="0007155B">
        <w:rPr>
          <w:rFonts w:ascii="Arial" w:hAnsi="Arial" w:cs="Arial"/>
          <w:sz w:val="22"/>
          <w:szCs w:val="22"/>
        </w:rPr>
        <w:t>. The maximum reported concentration</w:t>
      </w:r>
      <w:r w:rsidR="000D5660">
        <w:rPr>
          <w:rFonts w:ascii="Arial" w:hAnsi="Arial" w:cs="Arial"/>
          <w:sz w:val="22"/>
          <w:szCs w:val="22"/>
        </w:rPr>
        <w:t xml:space="preserve"> </w:t>
      </w:r>
      <w:r w:rsidR="000D5660" w:rsidRPr="000D5660">
        <w:rPr>
          <w:rFonts w:ascii="Arial" w:hAnsi="Arial" w:cs="Arial"/>
          <w:sz w:val="22"/>
          <w:szCs w:val="22"/>
        </w:rPr>
        <w:t xml:space="preserve">within the Cheltenham Borough Council AQMA </w:t>
      </w:r>
      <w:r w:rsidR="000D5660">
        <w:rPr>
          <w:rFonts w:ascii="Arial" w:hAnsi="Arial" w:cs="Arial"/>
          <w:sz w:val="22"/>
          <w:szCs w:val="22"/>
        </w:rPr>
        <w:t xml:space="preserve">in </w:t>
      </w:r>
      <w:r w:rsidR="0007155B">
        <w:rPr>
          <w:rFonts w:ascii="Arial" w:hAnsi="Arial" w:cs="Arial"/>
          <w:sz w:val="22"/>
          <w:szCs w:val="22"/>
        </w:rPr>
        <w:t>202</w:t>
      </w:r>
      <w:r w:rsidR="00B85BAE">
        <w:rPr>
          <w:rFonts w:ascii="Arial" w:hAnsi="Arial" w:cs="Arial"/>
          <w:sz w:val="22"/>
          <w:szCs w:val="22"/>
        </w:rPr>
        <w:t>4</w:t>
      </w:r>
      <w:r w:rsidR="0007155B">
        <w:rPr>
          <w:rFonts w:ascii="Arial" w:hAnsi="Arial" w:cs="Arial"/>
          <w:sz w:val="22"/>
          <w:szCs w:val="22"/>
        </w:rPr>
        <w:t xml:space="preserve"> was </w:t>
      </w:r>
      <w:r w:rsidR="00116DC0">
        <w:rPr>
          <w:rFonts w:ascii="Arial" w:hAnsi="Arial" w:cs="Arial"/>
          <w:sz w:val="22"/>
          <w:szCs w:val="22"/>
        </w:rPr>
        <w:t>3</w:t>
      </w:r>
      <w:r w:rsidR="000D5660">
        <w:rPr>
          <w:rFonts w:ascii="Arial" w:hAnsi="Arial" w:cs="Arial"/>
          <w:sz w:val="22"/>
          <w:szCs w:val="22"/>
        </w:rPr>
        <w:t>0.4</w:t>
      </w:r>
      <w:r w:rsidR="00116DC0">
        <w:rPr>
          <w:rFonts w:ascii="Arial" w:hAnsi="Arial" w:cs="Arial"/>
          <w:sz w:val="22"/>
          <w:szCs w:val="22"/>
        </w:rPr>
        <w:t xml:space="preserve"> </w:t>
      </w:r>
      <w:r w:rsidR="00116DC0" w:rsidRPr="00116DC0">
        <w:rPr>
          <w:rFonts w:ascii="Arial" w:hAnsi="Arial" w:cs="Arial"/>
          <w:sz w:val="22"/>
          <w:szCs w:val="22"/>
        </w:rPr>
        <w:t>µg/m</w:t>
      </w:r>
      <w:r w:rsidR="00116DC0" w:rsidRPr="00116DC0">
        <w:rPr>
          <w:rFonts w:ascii="Arial" w:hAnsi="Arial" w:cs="Arial"/>
          <w:sz w:val="22"/>
          <w:szCs w:val="22"/>
          <w:vertAlign w:val="superscript"/>
        </w:rPr>
        <w:t>3</w:t>
      </w:r>
      <w:r w:rsidR="004E1B7B">
        <w:rPr>
          <w:rFonts w:ascii="Arial" w:hAnsi="Arial" w:cs="Arial"/>
          <w:sz w:val="22"/>
          <w:szCs w:val="22"/>
        </w:rPr>
        <w:t xml:space="preserve"> at diffusion tube moni</w:t>
      </w:r>
      <w:r w:rsidR="003C4D8F">
        <w:rPr>
          <w:rFonts w:ascii="Arial" w:hAnsi="Arial" w:cs="Arial"/>
          <w:sz w:val="22"/>
          <w:szCs w:val="22"/>
        </w:rPr>
        <w:t>toring</w:t>
      </w:r>
      <w:r w:rsidR="00202C36">
        <w:rPr>
          <w:rFonts w:ascii="Arial" w:hAnsi="Arial" w:cs="Arial"/>
          <w:sz w:val="22"/>
          <w:szCs w:val="22"/>
        </w:rPr>
        <w:t xml:space="preserve"> Site</w:t>
      </w:r>
      <w:r w:rsidR="003C4D8F">
        <w:rPr>
          <w:rFonts w:ascii="Arial" w:hAnsi="Arial" w:cs="Arial"/>
          <w:sz w:val="22"/>
          <w:szCs w:val="22"/>
        </w:rPr>
        <w:t xml:space="preserve"> 5</w:t>
      </w:r>
      <w:r w:rsidR="00202C36">
        <w:rPr>
          <w:rFonts w:ascii="Arial" w:hAnsi="Arial" w:cs="Arial"/>
          <w:sz w:val="22"/>
          <w:szCs w:val="22"/>
        </w:rPr>
        <w:t xml:space="preserve">, </w:t>
      </w:r>
      <w:r w:rsidR="000D5660" w:rsidRPr="000D5660">
        <w:rPr>
          <w:rFonts w:ascii="Arial" w:hAnsi="Arial" w:cs="Arial"/>
          <w:sz w:val="22"/>
          <w:szCs w:val="22"/>
        </w:rPr>
        <w:t>which is a slight decrease from the 32.4 µg/m</w:t>
      </w:r>
      <w:r w:rsidR="000D5660" w:rsidRPr="000D5660">
        <w:rPr>
          <w:rFonts w:ascii="Arial" w:hAnsi="Arial" w:cs="Arial"/>
          <w:sz w:val="22"/>
          <w:szCs w:val="22"/>
          <w:vertAlign w:val="superscript"/>
        </w:rPr>
        <w:t xml:space="preserve">3 </w:t>
      </w:r>
      <w:r w:rsidR="000D5660" w:rsidRPr="000D5660">
        <w:rPr>
          <w:rFonts w:ascii="Arial" w:hAnsi="Arial" w:cs="Arial"/>
          <w:sz w:val="22"/>
          <w:szCs w:val="22"/>
        </w:rPr>
        <w:t>reported in the previous year. The maximum annual mean concentration reported within the AQMA has continued to fall each year from 36.0 µg/m</w:t>
      </w:r>
      <w:r w:rsidR="000D5660" w:rsidRPr="000D5660">
        <w:rPr>
          <w:rFonts w:ascii="Arial" w:hAnsi="Arial" w:cs="Arial"/>
          <w:sz w:val="22"/>
          <w:szCs w:val="22"/>
          <w:vertAlign w:val="superscript"/>
        </w:rPr>
        <w:t>3</w:t>
      </w:r>
      <w:r w:rsidR="000D5660" w:rsidRPr="000D5660">
        <w:rPr>
          <w:rFonts w:ascii="Arial" w:hAnsi="Arial" w:cs="Arial"/>
          <w:sz w:val="22"/>
          <w:szCs w:val="22"/>
        </w:rPr>
        <w:t xml:space="preserve"> in 2022 to 30.4 µg/m</w:t>
      </w:r>
      <w:r w:rsidR="000D5660" w:rsidRPr="000D5660">
        <w:rPr>
          <w:rFonts w:ascii="Arial" w:hAnsi="Arial" w:cs="Arial"/>
          <w:sz w:val="22"/>
          <w:szCs w:val="22"/>
          <w:vertAlign w:val="superscript"/>
        </w:rPr>
        <w:t>3</w:t>
      </w:r>
      <w:r w:rsidR="000D5660" w:rsidRPr="000D5660">
        <w:rPr>
          <w:rFonts w:ascii="Arial" w:hAnsi="Arial" w:cs="Arial"/>
          <w:sz w:val="22"/>
          <w:szCs w:val="22"/>
        </w:rPr>
        <w:t xml:space="preserve"> in 2024. </w:t>
      </w:r>
    </w:p>
    <w:p w14:paraId="4D599C13" w14:textId="7B85FA91" w:rsidR="0096681A" w:rsidRPr="0096681A" w:rsidRDefault="005D2749" w:rsidP="0096681A">
      <w:pPr>
        <w:widowControl w:val="0"/>
        <w:autoSpaceDE w:val="0"/>
        <w:autoSpaceDN w:val="0"/>
        <w:spacing w:after="240" w:line="360" w:lineRule="auto"/>
        <w:ind w:right="49"/>
        <w:jc w:val="both"/>
        <w:rPr>
          <w:rFonts w:ascii="Arial" w:eastAsia="Arial MT" w:hAnsi="Arial" w:cs="Arial"/>
          <w:sz w:val="22"/>
          <w:szCs w:val="22"/>
          <w:lang w:val="en-US" w:eastAsia="en-US"/>
        </w:rPr>
      </w:pPr>
      <w:bookmarkStart w:id="0" w:name="_Hlk204420017"/>
      <w:r>
        <w:rPr>
          <w:rFonts w:ascii="Arial" w:eastAsia="Arial MT" w:hAnsi="Arial" w:cs="Arial"/>
          <w:sz w:val="22"/>
          <w:szCs w:val="22"/>
          <w:lang w:val="en-US" w:eastAsia="en-US"/>
        </w:rPr>
        <w:t xml:space="preserve">According to </w:t>
      </w:r>
      <w:r w:rsidR="000D5660" w:rsidRPr="000D5660">
        <w:rPr>
          <w:rFonts w:ascii="Arial" w:eastAsia="Arial MT" w:hAnsi="Arial" w:cs="Arial"/>
          <w:sz w:val="22"/>
          <w:szCs w:val="22"/>
          <w:lang w:val="en-US" w:eastAsia="en-US"/>
        </w:rPr>
        <w:t>Section</w:t>
      </w:r>
      <w:r w:rsidR="000D5660" w:rsidRPr="000D5660">
        <w:rPr>
          <w:rFonts w:ascii="Arial" w:eastAsia="Arial MT" w:hAnsi="Arial" w:cs="Arial"/>
          <w:spacing w:val="-5"/>
          <w:sz w:val="22"/>
          <w:szCs w:val="22"/>
          <w:lang w:val="en-US" w:eastAsia="en-US"/>
        </w:rPr>
        <w:t xml:space="preserve"> </w:t>
      </w:r>
      <w:r w:rsidR="000D5660" w:rsidRPr="000D5660">
        <w:rPr>
          <w:rFonts w:ascii="Arial" w:eastAsia="Arial MT" w:hAnsi="Arial" w:cs="Arial"/>
          <w:sz w:val="22"/>
          <w:szCs w:val="22"/>
          <w:lang w:val="en-US" w:eastAsia="en-US"/>
        </w:rPr>
        <w:t>3.</w:t>
      </w:r>
      <w:r w:rsidR="00514EA8">
        <w:rPr>
          <w:rFonts w:ascii="Arial" w:eastAsia="Arial MT" w:hAnsi="Arial" w:cs="Arial"/>
          <w:sz w:val="22"/>
          <w:szCs w:val="22"/>
          <w:lang w:val="en-US" w:eastAsia="en-US"/>
        </w:rPr>
        <w:t>61</w:t>
      </w:r>
      <w:r w:rsidR="000D5660" w:rsidRPr="000D5660">
        <w:rPr>
          <w:rFonts w:ascii="Arial" w:eastAsia="Arial MT" w:hAnsi="Arial" w:cs="Arial"/>
          <w:spacing w:val="-5"/>
          <w:sz w:val="22"/>
          <w:szCs w:val="22"/>
          <w:lang w:val="en-US" w:eastAsia="en-US"/>
        </w:rPr>
        <w:t xml:space="preserve"> </w:t>
      </w:r>
      <w:r w:rsidR="000D5660" w:rsidRPr="000D5660">
        <w:rPr>
          <w:rFonts w:ascii="Arial" w:eastAsia="Arial MT" w:hAnsi="Arial" w:cs="Arial"/>
          <w:sz w:val="22"/>
          <w:szCs w:val="22"/>
          <w:lang w:val="en-US" w:eastAsia="en-US"/>
        </w:rPr>
        <w:t>of</w:t>
      </w:r>
      <w:r w:rsidR="000D5660" w:rsidRPr="000D5660">
        <w:rPr>
          <w:rFonts w:ascii="Arial" w:eastAsia="Arial MT" w:hAnsi="Arial" w:cs="Arial"/>
          <w:spacing w:val="-3"/>
          <w:sz w:val="22"/>
          <w:szCs w:val="22"/>
          <w:lang w:val="en-US" w:eastAsia="en-US"/>
        </w:rPr>
        <w:t xml:space="preserve"> </w:t>
      </w:r>
      <w:r w:rsidR="000D5660" w:rsidRPr="000D5660">
        <w:rPr>
          <w:rFonts w:ascii="Arial" w:eastAsia="Arial MT" w:hAnsi="Arial" w:cs="Arial"/>
          <w:sz w:val="22"/>
          <w:szCs w:val="22"/>
          <w:lang w:val="en-US" w:eastAsia="en-US"/>
        </w:rPr>
        <w:t>TG(22</w:t>
      </w:r>
      <w:r w:rsidR="00FD2921" w:rsidRPr="000D5660">
        <w:rPr>
          <w:rFonts w:ascii="Arial" w:eastAsia="Arial MT" w:hAnsi="Arial" w:cs="Arial"/>
          <w:sz w:val="22"/>
          <w:szCs w:val="22"/>
          <w:lang w:val="en-US" w:eastAsia="en-US"/>
        </w:rPr>
        <w:t>)</w:t>
      </w:r>
      <w:r w:rsidR="00514EA8">
        <w:rPr>
          <w:rFonts w:ascii="Arial" w:eastAsia="Arial MT" w:hAnsi="Arial" w:cs="Arial"/>
          <w:spacing w:val="-1"/>
          <w:sz w:val="22"/>
          <w:szCs w:val="22"/>
          <w:lang w:val="en-US" w:eastAsia="en-US"/>
        </w:rPr>
        <w:t xml:space="preserve">, </w:t>
      </w:r>
      <w:r w:rsidR="000D5660" w:rsidRPr="000D5660">
        <w:rPr>
          <w:rFonts w:ascii="Arial" w:eastAsia="Arial MT" w:hAnsi="Arial" w:cs="Arial"/>
          <w:sz w:val="22"/>
          <w:szCs w:val="22"/>
          <w:lang w:val="en-US" w:eastAsia="en-US"/>
        </w:rPr>
        <w:t>the</w:t>
      </w:r>
      <w:r w:rsidR="000D5660" w:rsidRPr="000D5660">
        <w:rPr>
          <w:rFonts w:ascii="Arial" w:eastAsia="Arial MT" w:hAnsi="Arial" w:cs="Arial"/>
          <w:spacing w:val="-2"/>
          <w:sz w:val="22"/>
          <w:szCs w:val="22"/>
          <w:lang w:val="en-US" w:eastAsia="en-US"/>
        </w:rPr>
        <w:t xml:space="preserve"> </w:t>
      </w:r>
      <w:r w:rsidR="000D5660" w:rsidRPr="000D5660">
        <w:rPr>
          <w:rFonts w:ascii="Arial" w:eastAsia="Arial MT" w:hAnsi="Arial" w:cs="Arial"/>
          <w:sz w:val="22"/>
          <w:szCs w:val="22"/>
          <w:lang w:val="en-US" w:eastAsia="en-US"/>
        </w:rPr>
        <w:t>revocation</w:t>
      </w:r>
      <w:r w:rsidR="000D5660" w:rsidRPr="000D5660">
        <w:rPr>
          <w:rFonts w:ascii="Arial" w:eastAsia="Arial MT" w:hAnsi="Arial" w:cs="Arial"/>
          <w:spacing w:val="-5"/>
          <w:sz w:val="22"/>
          <w:szCs w:val="22"/>
          <w:lang w:val="en-US" w:eastAsia="en-US"/>
        </w:rPr>
        <w:t xml:space="preserve"> </w:t>
      </w:r>
      <w:r w:rsidR="000D5660" w:rsidRPr="000D5660">
        <w:rPr>
          <w:rFonts w:ascii="Arial" w:eastAsia="Arial MT" w:hAnsi="Arial" w:cs="Arial"/>
          <w:sz w:val="22"/>
          <w:szCs w:val="22"/>
          <w:lang w:val="en-US" w:eastAsia="en-US"/>
        </w:rPr>
        <w:t>of</w:t>
      </w:r>
      <w:r w:rsidR="000D5660" w:rsidRPr="000D5660">
        <w:rPr>
          <w:rFonts w:ascii="Arial" w:eastAsia="Arial MT" w:hAnsi="Arial" w:cs="Arial"/>
          <w:spacing w:val="-3"/>
          <w:sz w:val="22"/>
          <w:szCs w:val="22"/>
          <w:lang w:val="en-US" w:eastAsia="en-US"/>
        </w:rPr>
        <w:t xml:space="preserve"> </w:t>
      </w:r>
      <w:r w:rsidR="000D5660" w:rsidRPr="000D5660">
        <w:rPr>
          <w:rFonts w:ascii="Arial" w:eastAsia="Arial MT" w:hAnsi="Arial" w:cs="Arial"/>
          <w:sz w:val="22"/>
          <w:szCs w:val="22"/>
          <w:lang w:val="en-US" w:eastAsia="en-US"/>
        </w:rPr>
        <w:t>an</w:t>
      </w:r>
      <w:r w:rsidR="000D5660" w:rsidRPr="000D5660">
        <w:rPr>
          <w:rFonts w:ascii="Arial" w:eastAsia="Arial MT" w:hAnsi="Arial" w:cs="Arial"/>
          <w:spacing w:val="-3"/>
          <w:sz w:val="22"/>
          <w:szCs w:val="22"/>
          <w:lang w:val="en-US" w:eastAsia="en-US"/>
        </w:rPr>
        <w:t xml:space="preserve"> </w:t>
      </w:r>
      <w:r w:rsidR="000D5660" w:rsidRPr="000D5660">
        <w:rPr>
          <w:rFonts w:ascii="Arial" w:eastAsia="Arial MT" w:hAnsi="Arial" w:cs="Arial"/>
          <w:sz w:val="22"/>
          <w:szCs w:val="22"/>
          <w:lang w:val="en-US" w:eastAsia="en-US"/>
        </w:rPr>
        <w:t>AQMA</w:t>
      </w:r>
      <w:r w:rsidR="000D5660" w:rsidRPr="000D5660">
        <w:rPr>
          <w:rFonts w:ascii="Arial" w:eastAsia="Arial MT" w:hAnsi="Arial" w:cs="Arial"/>
          <w:spacing w:val="-3"/>
          <w:sz w:val="22"/>
          <w:szCs w:val="22"/>
          <w:lang w:val="en-US" w:eastAsia="en-US"/>
        </w:rPr>
        <w:t xml:space="preserve"> </w:t>
      </w:r>
      <w:r w:rsidR="000D5660" w:rsidRPr="000D5660">
        <w:rPr>
          <w:rFonts w:ascii="Arial" w:eastAsia="Arial MT" w:hAnsi="Arial" w:cs="Arial"/>
          <w:sz w:val="22"/>
          <w:szCs w:val="22"/>
          <w:lang w:val="en-US" w:eastAsia="en-US"/>
        </w:rPr>
        <w:t>should</w:t>
      </w:r>
      <w:r w:rsidR="000D5660" w:rsidRPr="000D5660">
        <w:rPr>
          <w:rFonts w:ascii="Arial" w:eastAsia="Arial MT" w:hAnsi="Arial" w:cs="Arial"/>
          <w:spacing w:val="-3"/>
          <w:sz w:val="22"/>
          <w:szCs w:val="22"/>
          <w:lang w:val="en-US" w:eastAsia="en-US"/>
        </w:rPr>
        <w:t xml:space="preserve"> </w:t>
      </w:r>
      <w:r w:rsidR="000D5660" w:rsidRPr="000D5660">
        <w:rPr>
          <w:rFonts w:ascii="Arial" w:eastAsia="Arial MT" w:hAnsi="Arial" w:cs="Arial"/>
          <w:sz w:val="22"/>
          <w:szCs w:val="22"/>
          <w:lang w:val="en-US" w:eastAsia="en-US"/>
        </w:rPr>
        <w:t>be</w:t>
      </w:r>
      <w:r w:rsidR="000D5660" w:rsidRPr="000D5660">
        <w:rPr>
          <w:rFonts w:ascii="Arial" w:eastAsia="Arial MT" w:hAnsi="Arial" w:cs="Arial"/>
          <w:spacing w:val="-5"/>
          <w:sz w:val="22"/>
          <w:szCs w:val="22"/>
          <w:lang w:val="en-US" w:eastAsia="en-US"/>
        </w:rPr>
        <w:t xml:space="preserve"> </w:t>
      </w:r>
      <w:r w:rsidR="000D5660" w:rsidRPr="000D5660">
        <w:rPr>
          <w:rFonts w:ascii="Arial" w:eastAsia="Arial MT" w:hAnsi="Arial" w:cs="Arial"/>
          <w:sz w:val="22"/>
          <w:szCs w:val="22"/>
          <w:lang w:val="en-US" w:eastAsia="en-US"/>
        </w:rPr>
        <w:t>considered</w:t>
      </w:r>
      <w:r w:rsidR="000D5660" w:rsidRPr="000D5660">
        <w:rPr>
          <w:rFonts w:ascii="Arial" w:eastAsia="Arial MT" w:hAnsi="Arial" w:cs="Arial"/>
          <w:spacing w:val="-3"/>
          <w:sz w:val="22"/>
          <w:szCs w:val="22"/>
          <w:lang w:val="en-US" w:eastAsia="en-US"/>
        </w:rPr>
        <w:t xml:space="preserve"> </w:t>
      </w:r>
      <w:r w:rsidR="000D5660" w:rsidRPr="000D5660">
        <w:rPr>
          <w:rFonts w:ascii="Arial" w:eastAsia="Arial MT" w:hAnsi="Arial" w:cs="Arial"/>
          <w:sz w:val="22"/>
          <w:szCs w:val="22"/>
          <w:lang w:val="en-US" w:eastAsia="en-US"/>
        </w:rPr>
        <w:t xml:space="preserve">following </w:t>
      </w:r>
      <w:r w:rsidR="000D5660" w:rsidRPr="000D5660">
        <w:rPr>
          <w:rFonts w:ascii="Arial" w:eastAsia="Arial MT" w:hAnsi="Arial" w:cs="Arial"/>
          <w:position w:val="1"/>
          <w:sz w:val="22"/>
          <w:szCs w:val="22"/>
          <w:lang w:val="en-US" w:eastAsia="en-US"/>
        </w:rPr>
        <w:t>three consecutive years of annual mean NO</w:t>
      </w:r>
      <w:r w:rsidR="000D5660" w:rsidRPr="000D5660">
        <w:rPr>
          <w:rFonts w:ascii="Arial" w:eastAsia="Arial MT" w:hAnsi="Arial" w:cs="Arial"/>
          <w:sz w:val="22"/>
          <w:szCs w:val="22"/>
          <w:vertAlign w:val="subscript"/>
          <w:lang w:val="en-US" w:eastAsia="en-US"/>
        </w:rPr>
        <w:t>2</w:t>
      </w:r>
      <w:r w:rsidR="000D5660" w:rsidRPr="000D5660">
        <w:rPr>
          <w:rFonts w:ascii="Arial" w:eastAsia="Arial MT" w:hAnsi="Arial" w:cs="Arial"/>
          <w:sz w:val="22"/>
          <w:szCs w:val="22"/>
          <w:lang w:val="en-US" w:eastAsia="en-US"/>
        </w:rPr>
        <w:t xml:space="preserve"> </w:t>
      </w:r>
      <w:r w:rsidR="000D5660" w:rsidRPr="000D5660">
        <w:rPr>
          <w:rFonts w:ascii="Arial" w:eastAsia="Arial MT" w:hAnsi="Arial" w:cs="Arial"/>
          <w:position w:val="1"/>
          <w:sz w:val="22"/>
          <w:szCs w:val="22"/>
          <w:lang w:val="en-US" w:eastAsia="en-US"/>
        </w:rPr>
        <w:t>concentrations being lower than 36 µg/m</w:t>
      </w:r>
      <w:r w:rsidR="000D5660" w:rsidRPr="000D5660">
        <w:rPr>
          <w:rFonts w:ascii="Arial" w:eastAsia="Arial MT" w:hAnsi="Arial" w:cs="Arial"/>
          <w:position w:val="1"/>
          <w:sz w:val="22"/>
          <w:szCs w:val="22"/>
          <w:vertAlign w:val="superscript"/>
          <w:lang w:val="en-US" w:eastAsia="en-US"/>
        </w:rPr>
        <w:t>3</w:t>
      </w:r>
      <w:r w:rsidR="000D5660" w:rsidRPr="000D5660">
        <w:rPr>
          <w:rFonts w:ascii="Arial" w:eastAsia="Arial MT" w:hAnsi="Arial" w:cs="Arial"/>
          <w:position w:val="1"/>
          <w:sz w:val="22"/>
          <w:szCs w:val="22"/>
          <w:lang w:val="en-US" w:eastAsia="en-US"/>
        </w:rPr>
        <w:t xml:space="preserve"> (i.e. within 10% of the annual mean NO</w:t>
      </w:r>
      <w:r w:rsidR="000D5660" w:rsidRPr="000D5660">
        <w:rPr>
          <w:rFonts w:ascii="Arial" w:eastAsia="Arial MT" w:hAnsi="Arial" w:cs="Arial"/>
          <w:sz w:val="22"/>
          <w:szCs w:val="22"/>
          <w:vertAlign w:val="subscript"/>
          <w:lang w:val="en-US" w:eastAsia="en-US"/>
        </w:rPr>
        <w:t>2</w:t>
      </w:r>
      <w:r w:rsidR="000D5660" w:rsidRPr="000D5660">
        <w:rPr>
          <w:rFonts w:ascii="Arial" w:eastAsia="Arial MT" w:hAnsi="Arial" w:cs="Arial"/>
          <w:spacing w:val="32"/>
          <w:sz w:val="22"/>
          <w:szCs w:val="22"/>
          <w:lang w:val="en-US" w:eastAsia="en-US"/>
        </w:rPr>
        <w:t xml:space="preserve"> </w:t>
      </w:r>
      <w:r w:rsidR="000D5660" w:rsidRPr="000D5660">
        <w:rPr>
          <w:rFonts w:ascii="Arial" w:eastAsia="Arial MT" w:hAnsi="Arial" w:cs="Arial"/>
          <w:position w:val="1"/>
          <w:sz w:val="22"/>
          <w:szCs w:val="22"/>
          <w:lang w:val="en-US" w:eastAsia="en-US"/>
        </w:rPr>
        <w:t>objective). Therefore, despite the NO</w:t>
      </w:r>
      <w:r w:rsidR="000D5660" w:rsidRPr="000D5660">
        <w:rPr>
          <w:rFonts w:ascii="Arial" w:eastAsia="Arial MT" w:hAnsi="Arial" w:cs="Arial"/>
          <w:sz w:val="22"/>
          <w:szCs w:val="22"/>
          <w:vertAlign w:val="subscript"/>
          <w:lang w:val="en-US" w:eastAsia="en-US"/>
        </w:rPr>
        <w:t>2</w:t>
      </w:r>
      <w:r w:rsidR="000D5660" w:rsidRPr="000D5660">
        <w:rPr>
          <w:rFonts w:ascii="Arial" w:eastAsia="Arial MT" w:hAnsi="Arial" w:cs="Arial"/>
          <w:spacing w:val="28"/>
          <w:sz w:val="22"/>
          <w:szCs w:val="22"/>
          <w:lang w:val="en-US" w:eastAsia="en-US"/>
        </w:rPr>
        <w:t xml:space="preserve"> </w:t>
      </w:r>
      <w:r w:rsidR="000D5660" w:rsidRPr="000D5660">
        <w:rPr>
          <w:rFonts w:ascii="Arial" w:eastAsia="Arial MT" w:hAnsi="Arial" w:cs="Arial"/>
          <w:position w:val="1"/>
          <w:sz w:val="22"/>
          <w:szCs w:val="22"/>
          <w:lang w:val="en-US" w:eastAsia="en-US"/>
        </w:rPr>
        <w:t xml:space="preserve">annual </w:t>
      </w:r>
      <w:r w:rsidR="000D5660" w:rsidRPr="000D5660">
        <w:rPr>
          <w:rFonts w:ascii="Arial" w:eastAsia="Arial MT" w:hAnsi="Arial" w:cs="Arial"/>
          <w:sz w:val="22"/>
          <w:szCs w:val="22"/>
          <w:lang w:val="en-US" w:eastAsia="en-US"/>
        </w:rPr>
        <w:t>mean concentration in 2022 being 36.0 µg/</w:t>
      </w:r>
      <w:r w:rsidR="0009306D" w:rsidRPr="0009306D">
        <w:rPr>
          <w:rFonts w:ascii="Arial" w:eastAsia="Arial MT" w:hAnsi="Arial" w:cs="Arial"/>
          <w:sz w:val="22"/>
          <w:szCs w:val="22"/>
          <w:lang w:val="en-US" w:eastAsia="en-US"/>
        </w:rPr>
        <w:t>m</w:t>
      </w:r>
      <w:r w:rsidR="0009306D" w:rsidRPr="0009306D">
        <w:rPr>
          <w:rFonts w:ascii="Arial" w:eastAsia="Arial MT" w:hAnsi="Arial" w:cs="Arial"/>
          <w:sz w:val="22"/>
          <w:szCs w:val="22"/>
          <w:vertAlign w:val="superscript"/>
          <w:lang w:val="en-US" w:eastAsia="en-US"/>
        </w:rPr>
        <w:t>3</w:t>
      </w:r>
      <w:r w:rsidR="000D5660" w:rsidRPr="000D5660">
        <w:rPr>
          <w:rFonts w:ascii="Arial" w:eastAsia="Arial MT" w:hAnsi="Arial" w:cs="Arial"/>
          <w:sz w:val="22"/>
          <w:szCs w:val="22"/>
          <w:lang w:val="en-US" w:eastAsia="en-US"/>
        </w:rPr>
        <w:t>, the downward trend in concentrations that has been observed demonstrates continu</w:t>
      </w:r>
      <w:r w:rsidR="00514EA8">
        <w:rPr>
          <w:rFonts w:ascii="Arial" w:eastAsia="Arial MT" w:hAnsi="Arial" w:cs="Arial"/>
          <w:sz w:val="22"/>
          <w:szCs w:val="22"/>
          <w:lang w:val="en-US" w:eastAsia="en-US"/>
        </w:rPr>
        <w:t>ed</w:t>
      </w:r>
      <w:r w:rsidR="000D5660" w:rsidRPr="000D5660">
        <w:rPr>
          <w:rFonts w:ascii="Arial" w:eastAsia="Arial MT" w:hAnsi="Arial" w:cs="Arial"/>
          <w:sz w:val="22"/>
          <w:szCs w:val="22"/>
          <w:lang w:val="en-US" w:eastAsia="en-US"/>
        </w:rPr>
        <w:t xml:space="preserve"> compliance with the objective. As a result, Cheltenham </w:t>
      </w:r>
      <w:r w:rsidR="000D5660" w:rsidRPr="0096681A">
        <w:rPr>
          <w:rFonts w:ascii="Arial" w:eastAsia="Arial MT" w:hAnsi="Arial" w:cs="Arial"/>
          <w:sz w:val="22"/>
          <w:szCs w:val="22"/>
          <w:lang w:val="en-US" w:eastAsia="en-US"/>
        </w:rPr>
        <w:t>Borough Council are in the process of revoking the Cheltenham AQMA</w:t>
      </w:r>
      <w:r w:rsidR="00514EA8" w:rsidRPr="0096681A">
        <w:rPr>
          <w:rFonts w:ascii="Arial" w:eastAsia="Arial MT" w:hAnsi="Arial" w:cs="Arial"/>
          <w:sz w:val="22"/>
          <w:szCs w:val="22"/>
          <w:lang w:val="en-US" w:eastAsia="en-US"/>
        </w:rPr>
        <w:t>, a position Defra support</w:t>
      </w:r>
      <w:r w:rsidR="000D5660" w:rsidRPr="0096681A">
        <w:rPr>
          <w:rFonts w:ascii="Arial" w:eastAsia="Arial MT" w:hAnsi="Arial" w:cs="Arial"/>
          <w:sz w:val="22"/>
          <w:szCs w:val="22"/>
          <w:lang w:val="en-US" w:eastAsia="en-US"/>
        </w:rPr>
        <w:t>.</w:t>
      </w:r>
    </w:p>
    <w:p w14:paraId="407C5DFD" w14:textId="77777777" w:rsidR="0096681A" w:rsidRPr="00065008" w:rsidRDefault="0096681A" w:rsidP="0096681A">
      <w:pPr>
        <w:pStyle w:val="Indent1"/>
        <w:spacing w:after="240"/>
        <w:ind w:left="0" w:firstLine="0"/>
        <w:rPr>
          <w:rFonts w:ascii="Arial" w:hAnsi="Arial" w:cs="Arial"/>
          <w:sz w:val="22"/>
          <w:szCs w:val="22"/>
        </w:rPr>
      </w:pPr>
      <w:r w:rsidRPr="00065008">
        <w:rPr>
          <w:rFonts w:ascii="Arial" w:hAnsi="Arial" w:cs="Arial"/>
          <w:sz w:val="22"/>
          <w:szCs w:val="22"/>
        </w:rPr>
        <w:t xml:space="preserve">The revocation of an AQMA should be considered following three consecutive years of compliance with the relevant objective as evidenced through monitoring. Where there have been no exceedances for the past five years, local authorities must proceed with plans to revoke the AQMA. The LAQM Technical Guidance 2022 is clear in this respect (Point 3.57, page 50). </w:t>
      </w:r>
    </w:p>
    <w:p w14:paraId="7E2E8148" w14:textId="77777777" w:rsidR="0096681A" w:rsidRPr="00065008" w:rsidRDefault="0096681A" w:rsidP="0096681A">
      <w:pPr>
        <w:pStyle w:val="Indent1"/>
        <w:spacing w:after="240"/>
        <w:ind w:left="0" w:firstLine="0"/>
        <w:rPr>
          <w:rFonts w:ascii="Arial" w:hAnsi="Arial" w:cs="Arial"/>
          <w:sz w:val="22"/>
          <w:szCs w:val="22"/>
        </w:rPr>
      </w:pPr>
      <w:r w:rsidRPr="00065008">
        <w:rPr>
          <w:rFonts w:ascii="Arial" w:hAnsi="Arial" w:cs="Arial"/>
          <w:sz w:val="22"/>
          <w:szCs w:val="22"/>
        </w:rPr>
        <w:lastRenderedPageBreak/>
        <w:t xml:space="preserve">Please be aware that unless a likely exceedance has been identified in the area, Defra will not appraise AQAPs for AQMAs that have been in compliance for five years. Local Authorities will instead be advised to revoke the AQMA. </w:t>
      </w:r>
    </w:p>
    <w:p w14:paraId="5922A735" w14:textId="77777777" w:rsidR="0096681A" w:rsidRPr="00065008" w:rsidRDefault="0096681A" w:rsidP="0096681A">
      <w:pPr>
        <w:pStyle w:val="Indent1"/>
        <w:spacing w:after="240"/>
        <w:ind w:left="0" w:firstLine="0"/>
        <w:rPr>
          <w:rFonts w:ascii="Arial" w:hAnsi="Arial" w:cs="Arial"/>
          <w:sz w:val="22"/>
          <w:szCs w:val="22"/>
        </w:rPr>
      </w:pPr>
      <w:r w:rsidRPr="00065008">
        <w:rPr>
          <w:rFonts w:ascii="Arial" w:hAnsi="Arial" w:cs="Arial"/>
          <w:sz w:val="22"/>
          <w:szCs w:val="22"/>
        </w:rPr>
        <w:t>AQMAs should identify areas where air quality objectives are not being met or are likely to be at risk of not meeting them. Keeping AQMAs in place longer than required risks diluting their meaning and impacting public trust in LAQM.</w:t>
      </w:r>
    </w:p>
    <w:p w14:paraId="2175866E" w14:textId="77777777" w:rsidR="0096681A" w:rsidRPr="0096681A" w:rsidRDefault="0096681A" w:rsidP="0096681A">
      <w:pPr>
        <w:pStyle w:val="Indent1"/>
        <w:spacing w:after="240"/>
        <w:ind w:left="0" w:firstLine="0"/>
        <w:rPr>
          <w:rFonts w:ascii="Arial" w:hAnsi="Arial" w:cs="Arial"/>
          <w:sz w:val="22"/>
          <w:szCs w:val="22"/>
        </w:rPr>
      </w:pPr>
      <w:r w:rsidRPr="00065008">
        <w:rPr>
          <w:rFonts w:ascii="Arial" w:hAnsi="Arial" w:cs="Arial"/>
          <w:sz w:val="22"/>
          <w:szCs w:val="22"/>
        </w:rPr>
        <w:t>Local authorities that do not have an AQMA should continue to monitor for exceedances and should still have a local Air Quality Strategy in place to ensure air quality remains a high-profile issue, thereby enabling a quick response should there be any deterioration in condition.</w:t>
      </w:r>
      <w:r w:rsidRPr="0096681A">
        <w:rPr>
          <w:rFonts w:ascii="Arial" w:hAnsi="Arial" w:cs="Arial"/>
          <w:sz w:val="22"/>
          <w:szCs w:val="22"/>
        </w:rPr>
        <w:t xml:space="preserve"> </w:t>
      </w:r>
    </w:p>
    <w:p w14:paraId="150930E7" w14:textId="0862605E" w:rsidR="0096681A" w:rsidRPr="00065008" w:rsidRDefault="0096681A" w:rsidP="00065008">
      <w:pPr>
        <w:pStyle w:val="Indent1"/>
        <w:spacing w:after="240"/>
        <w:ind w:left="0" w:firstLine="0"/>
        <w:rPr>
          <w:rFonts w:ascii="Arial" w:hAnsi="Arial" w:cs="Arial"/>
          <w:color w:val="FF0000"/>
          <w:sz w:val="22"/>
          <w:szCs w:val="22"/>
        </w:rPr>
      </w:pPr>
      <w:r w:rsidRPr="00065008">
        <w:rPr>
          <w:rFonts w:ascii="Arial" w:hAnsi="Arial" w:cs="Arial"/>
          <w:sz w:val="22"/>
          <w:szCs w:val="22"/>
        </w:rPr>
        <w:t>See</w:t>
      </w:r>
      <w:r w:rsidRPr="0096681A">
        <w:rPr>
          <w:rFonts w:ascii="Arial" w:hAnsi="Arial" w:cs="Arial"/>
          <w:color w:val="FF0000"/>
          <w:sz w:val="22"/>
          <w:szCs w:val="22"/>
        </w:rPr>
        <w:t xml:space="preserve"> </w:t>
      </w:r>
      <w:hyperlink r:id="rId8" w:history="1">
        <w:r w:rsidRPr="0096681A">
          <w:rPr>
            <w:rStyle w:val="Hyperlink"/>
            <w:rFonts w:ascii="Arial" w:eastAsia="Arial" w:hAnsi="Arial" w:cs="Arial"/>
            <w:color w:val="1D70B8"/>
            <w:sz w:val="22"/>
            <w:szCs w:val="22"/>
            <w:lang w:eastAsia="en-US"/>
          </w:rPr>
          <w:t>LAQM Statutory Policy and Technical Guidance 2022</w:t>
        </w:r>
      </w:hyperlink>
      <w:r w:rsidRPr="0096681A">
        <w:rPr>
          <w:rFonts w:ascii="Arial" w:hAnsi="Arial" w:cs="Arial"/>
          <w:color w:val="FF0000"/>
          <w:sz w:val="22"/>
          <w:szCs w:val="22"/>
        </w:rPr>
        <w:t xml:space="preserve"> </w:t>
      </w:r>
      <w:r w:rsidRPr="00065008">
        <w:rPr>
          <w:rFonts w:ascii="Arial" w:hAnsi="Arial" w:cs="Arial"/>
          <w:sz w:val="22"/>
          <w:szCs w:val="22"/>
        </w:rPr>
        <w:t>for more information, as well as</w:t>
      </w:r>
      <w:r w:rsidRPr="0096681A">
        <w:rPr>
          <w:rFonts w:ascii="Arial" w:hAnsi="Arial" w:cs="Arial"/>
          <w:color w:val="FF0000"/>
          <w:sz w:val="22"/>
          <w:szCs w:val="22"/>
        </w:rPr>
        <w:t xml:space="preserve"> </w:t>
      </w:r>
      <w:hyperlink r:id="rId9" w:history="1">
        <w:r w:rsidRPr="0096681A">
          <w:rPr>
            <w:rStyle w:val="Hyperlink"/>
            <w:rFonts w:ascii="Arial" w:eastAsia="Arial" w:hAnsi="Arial" w:cs="Arial"/>
            <w:color w:val="1D70B8"/>
            <w:sz w:val="22"/>
            <w:szCs w:val="22"/>
            <w:lang w:eastAsia="en-US"/>
          </w:rPr>
          <w:t>FAQ 142: Three or more years of compliance with air quality objectives</w:t>
        </w:r>
      </w:hyperlink>
      <w:r w:rsidRPr="0096681A">
        <w:rPr>
          <w:rFonts w:ascii="Arial" w:hAnsi="Arial" w:cs="Arial"/>
          <w:color w:val="FF0000"/>
          <w:sz w:val="22"/>
          <w:szCs w:val="22"/>
        </w:rPr>
        <w:t>.</w:t>
      </w:r>
      <w:r w:rsidRPr="00906BF0">
        <w:rPr>
          <w:rFonts w:ascii="Arial" w:hAnsi="Arial" w:cs="Arial"/>
          <w:color w:val="FF0000"/>
          <w:sz w:val="22"/>
          <w:szCs w:val="22"/>
        </w:rPr>
        <w:t xml:space="preserve">  </w:t>
      </w:r>
    </w:p>
    <w:bookmarkEnd w:id="0"/>
    <w:p w14:paraId="5F2ED9A7" w14:textId="28E4213F" w:rsidR="00C01426" w:rsidRPr="00065008" w:rsidRDefault="005D2749" w:rsidP="00065008">
      <w:pPr>
        <w:widowControl w:val="0"/>
        <w:autoSpaceDE w:val="0"/>
        <w:autoSpaceDN w:val="0"/>
        <w:spacing w:after="240" w:line="360" w:lineRule="auto"/>
        <w:ind w:right="49"/>
        <w:jc w:val="both"/>
        <w:rPr>
          <w:rFonts w:ascii="Arial" w:hAnsi="Arial" w:cs="Arial"/>
          <w:sz w:val="22"/>
          <w:szCs w:val="22"/>
          <w:lang w:val="en-US"/>
        </w:rPr>
      </w:pPr>
      <w:r w:rsidRPr="00065008">
        <w:rPr>
          <w:rFonts w:ascii="Arial" w:hAnsi="Arial" w:cs="Arial"/>
          <w:sz w:val="22"/>
          <w:szCs w:val="22"/>
          <w:lang w:val="en-US"/>
        </w:rPr>
        <w:t xml:space="preserve">Outside of the </w:t>
      </w:r>
      <w:r w:rsidR="00C01426" w:rsidRPr="00065008">
        <w:rPr>
          <w:rFonts w:ascii="Arial" w:hAnsi="Arial" w:cs="Arial"/>
          <w:sz w:val="22"/>
          <w:szCs w:val="22"/>
          <w:lang w:val="en-US"/>
        </w:rPr>
        <w:t>Cheltenham AQMA</w:t>
      </w:r>
      <w:r w:rsidRPr="00065008">
        <w:rPr>
          <w:rFonts w:ascii="Arial" w:hAnsi="Arial" w:cs="Arial"/>
          <w:sz w:val="22"/>
          <w:szCs w:val="22"/>
          <w:lang w:val="en-US"/>
        </w:rPr>
        <w:t>, the maximum NO</w:t>
      </w:r>
      <w:r w:rsidRPr="00065008">
        <w:rPr>
          <w:rFonts w:ascii="Arial" w:hAnsi="Arial" w:cs="Arial"/>
          <w:sz w:val="22"/>
          <w:szCs w:val="22"/>
          <w:vertAlign w:val="subscript"/>
          <w:lang w:val="en-US"/>
        </w:rPr>
        <w:t>2</w:t>
      </w:r>
      <w:r w:rsidRPr="00065008">
        <w:rPr>
          <w:rFonts w:ascii="Arial" w:hAnsi="Arial" w:cs="Arial"/>
          <w:sz w:val="22"/>
          <w:szCs w:val="22"/>
          <w:lang w:val="en-US"/>
        </w:rPr>
        <w:t xml:space="preserve"> annual mean concentration at a diffusion tube was 27.1 µg/</w:t>
      </w:r>
      <w:bookmarkStart w:id="1" w:name="_Hlk204432618"/>
      <w:r w:rsidRPr="00065008">
        <w:rPr>
          <w:rFonts w:ascii="Arial" w:hAnsi="Arial" w:cs="Arial"/>
          <w:sz w:val="22"/>
          <w:szCs w:val="22"/>
          <w:lang w:val="en-US"/>
        </w:rPr>
        <w:t>m</w:t>
      </w:r>
      <w:r w:rsidRPr="00065008">
        <w:rPr>
          <w:rFonts w:ascii="Arial" w:hAnsi="Arial" w:cs="Arial"/>
          <w:sz w:val="22"/>
          <w:szCs w:val="22"/>
          <w:vertAlign w:val="superscript"/>
          <w:lang w:val="en-US"/>
        </w:rPr>
        <w:t>3</w:t>
      </w:r>
      <w:bookmarkEnd w:id="1"/>
      <w:r w:rsidRPr="00065008">
        <w:rPr>
          <w:rFonts w:ascii="Arial" w:hAnsi="Arial" w:cs="Arial"/>
          <w:sz w:val="22"/>
          <w:szCs w:val="22"/>
          <w:lang w:val="en-US"/>
        </w:rPr>
        <w:t>, which is a reduction from the 29.8 µg/m</w:t>
      </w:r>
      <w:r w:rsidRPr="00065008">
        <w:rPr>
          <w:rFonts w:ascii="Arial" w:hAnsi="Arial" w:cs="Arial"/>
          <w:sz w:val="22"/>
          <w:szCs w:val="22"/>
          <w:vertAlign w:val="superscript"/>
          <w:lang w:val="en-US"/>
        </w:rPr>
        <w:t>3</w:t>
      </w:r>
      <w:r w:rsidRPr="00065008">
        <w:rPr>
          <w:rFonts w:ascii="Arial" w:hAnsi="Arial" w:cs="Arial"/>
          <w:sz w:val="22"/>
          <w:szCs w:val="22"/>
          <w:lang w:val="en-US"/>
        </w:rPr>
        <w:t xml:space="preserve"> recorded in 2023. Of the 40 sites that were part of the diffusion tube network in both 2023 and 2024, the NO</w:t>
      </w:r>
      <w:r w:rsidRPr="00065008">
        <w:rPr>
          <w:rFonts w:ascii="Arial" w:hAnsi="Arial" w:cs="Arial"/>
          <w:sz w:val="22"/>
          <w:szCs w:val="22"/>
          <w:vertAlign w:val="subscript"/>
          <w:lang w:val="en-US"/>
        </w:rPr>
        <w:t>2</w:t>
      </w:r>
      <w:r w:rsidRPr="00065008">
        <w:rPr>
          <w:rFonts w:ascii="Arial" w:hAnsi="Arial" w:cs="Arial"/>
          <w:sz w:val="22"/>
          <w:szCs w:val="22"/>
          <w:lang w:val="en-US"/>
        </w:rPr>
        <w:t xml:space="preserve"> annual mean concentration decreased at all sites except one (Site 13), where the concentration remained stable. This downward trend in NO</w:t>
      </w:r>
      <w:r w:rsidRPr="00065008">
        <w:rPr>
          <w:rFonts w:ascii="Arial" w:hAnsi="Arial" w:cs="Arial"/>
          <w:sz w:val="22"/>
          <w:szCs w:val="22"/>
          <w:vertAlign w:val="subscript"/>
          <w:lang w:val="en-US"/>
        </w:rPr>
        <w:t xml:space="preserve">2 </w:t>
      </w:r>
      <w:r w:rsidRPr="00065008">
        <w:rPr>
          <w:rFonts w:ascii="Arial" w:hAnsi="Arial" w:cs="Arial"/>
          <w:sz w:val="22"/>
          <w:szCs w:val="22"/>
          <w:lang w:val="en-US"/>
        </w:rPr>
        <w:t>annual mean concentrations observed across the entire diffusion tube network, highlights the improvement in the concentration of NO</w:t>
      </w:r>
      <w:r w:rsidRPr="00065008">
        <w:rPr>
          <w:rFonts w:ascii="Arial" w:hAnsi="Arial" w:cs="Arial"/>
          <w:sz w:val="22"/>
          <w:szCs w:val="22"/>
          <w:vertAlign w:val="subscript"/>
          <w:lang w:val="en-US"/>
        </w:rPr>
        <w:t>2</w:t>
      </w:r>
      <w:r w:rsidRPr="00065008">
        <w:rPr>
          <w:rFonts w:ascii="Arial" w:hAnsi="Arial" w:cs="Arial"/>
          <w:sz w:val="22"/>
          <w:szCs w:val="22"/>
          <w:lang w:val="en-US"/>
        </w:rPr>
        <w:t xml:space="preserve"> across Cheltenham during 2024.</w:t>
      </w:r>
      <w:r w:rsidR="00C01426" w:rsidRPr="00065008">
        <w:rPr>
          <w:rFonts w:ascii="Arial" w:hAnsi="Arial" w:cs="Arial"/>
          <w:sz w:val="22"/>
          <w:szCs w:val="22"/>
          <w:lang w:val="en-US"/>
        </w:rPr>
        <w:t xml:space="preserve">  CM1 recorded an annual mean concentration of NO</w:t>
      </w:r>
      <w:r w:rsidR="00C01426" w:rsidRPr="00065008">
        <w:rPr>
          <w:rFonts w:ascii="Arial" w:hAnsi="Arial" w:cs="Arial"/>
          <w:sz w:val="22"/>
          <w:szCs w:val="22"/>
          <w:vertAlign w:val="subscript"/>
          <w:lang w:val="en-US"/>
        </w:rPr>
        <w:t>2</w:t>
      </w:r>
      <w:r w:rsidR="00C01426" w:rsidRPr="00065008">
        <w:rPr>
          <w:rFonts w:ascii="Arial" w:hAnsi="Arial" w:cs="Arial"/>
          <w:sz w:val="22"/>
          <w:szCs w:val="22"/>
          <w:lang w:val="en-US"/>
        </w:rPr>
        <w:t xml:space="preserve"> of 23.4 µg/m</w:t>
      </w:r>
      <w:r w:rsidR="00C01426" w:rsidRPr="00065008">
        <w:rPr>
          <w:rFonts w:ascii="Arial" w:hAnsi="Arial" w:cs="Arial"/>
          <w:sz w:val="22"/>
          <w:szCs w:val="22"/>
          <w:vertAlign w:val="superscript"/>
          <w:lang w:val="en-US"/>
        </w:rPr>
        <w:t>3</w:t>
      </w:r>
      <w:r w:rsidR="00C01426" w:rsidRPr="00065008">
        <w:rPr>
          <w:rFonts w:ascii="Arial" w:hAnsi="Arial" w:cs="Arial"/>
          <w:sz w:val="22"/>
          <w:szCs w:val="22"/>
          <w:lang w:val="en-US"/>
        </w:rPr>
        <w:t xml:space="preserve"> in </w:t>
      </w:r>
      <w:r w:rsidR="00514EA8" w:rsidRPr="00065008">
        <w:rPr>
          <w:rFonts w:ascii="Arial" w:hAnsi="Arial" w:cs="Arial"/>
          <w:sz w:val="22"/>
          <w:szCs w:val="22"/>
          <w:lang w:val="en-US"/>
        </w:rPr>
        <w:t>2024</w:t>
      </w:r>
      <w:r w:rsidR="00C01426" w:rsidRPr="00065008">
        <w:rPr>
          <w:rFonts w:ascii="Arial" w:hAnsi="Arial" w:cs="Arial"/>
          <w:sz w:val="22"/>
          <w:szCs w:val="22"/>
          <w:lang w:val="en-US"/>
        </w:rPr>
        <w:t>, which as observed in the diffusion tube network, is a year-on-year reduction in concentration since 2022 and is well below the annual mean AQO of 40 µg/m</w:t>
      </w:r>
      <w:r w:rsidR="00C01426" w:rsidRPr="00065008">
        <w:rPr>
          <w:rFonts w:ascii="Arial" w:hAnsi="Arial" w:cs="Arial"/>
          <w:sz w:val="22"/>
          <w:szCs w:val="22"/>
          <w:vertAlign w:val="superscript"/>
          <w:lang w:val="en-US"/>
        </w:rPr>
        <w:t>3</w:t>
      </w:r>
      <w:r w:rsidR="0009306D" w:rsidRPr="00065008">
        <w:rPr>
          <w:rFonts w:ascii="Arial" w:hAnsi="Arial" w:cs="Arial"/>
          <w:sz w:val="22"/>
          <w:szCs w:val="22"/>
          <w:lang w:val="en-US"/>
        </w:rPr>
        <w:t>. This</w:t>
      </w:r>
      <w:r w:rsidR="00C01426" w:rsidRPr="00065008">
        <w:rPr>
          <w:rFonts w:ascii="Arial" w:hAnsi="Arial" w:cs="Arial"/>
          <w:sz w:val="22"/>
          <w:szCs w:val="22"/>
          <w:lang w:val="en-US"/>
        </w:rPr>
        <w:t xml:space="preserve"> indicates</w:t>
      </w:r>
      <w:r w:rsidR="00C01426" w:rsidRPr="00065008">
        <w:rPr>
          <w:rFonts w:ascii="Arial" w:eastAsia="Arial MT" w:hAnsi="Arial" w:cs="Arial"/>
          <w:position w:val="1"/>
          <w:sz w:val="22"/>
          <w:szCs w:val="22"/>
          <w:highlight w:val="yellow"/>
          <w:lang w:val="en-US" w:eastAsia="en-US"/>
        </w:rPr>
        <w:t xml:space="preserve"> </w:t>
      </w:r>
      <w:r w:rsidR="00C01426" w:rsidRPr="00065008">
        <w:rPr>
          <w:rFonts w:ascii="Arial" w:eastAsia="Arial MT" w:hAnsi="Arial" w:cs="Arial"/>
          <w:position w:val="1"/>
          <w:sz w:val="22"/>
          <w:szCs w:val="22"/>
          <w:lang w:val="en-US" w:eastAsia="en-US"/>
        </w:rPr>
        <w:t>that the NO</w:t>
      </w:r>
      <w:r w:rsidR="00C01426" w:rsidRPr="00065008">
        <w:rPr>
          <w:rFonts w:ascii="Arial" w:eastAsia="Arial MT" w:hAnsi="Arial" w:cs="Arial"/>
          <w:sz w:val="22"/>
          <w:szCs w:val="22"/>
          <w:lang w:val="en-US" w:eastAsia="en-US"/>
        </w:rPr>
        <w:t>2</w:t>
      </w:r>
      <w:r w:rsidR="00C01426" w:rsidRPr="00065008">
        <w:rPr>
          <w:rFonts w:ascii="Arial" w:eastAsia="Arial MT" w:hAnsi="Arial" w:cs="Arial"/>
          <w:spacing w:val="28"/>
          <w:sz w:val="22"/>
          <w:szCs w:val="22"/>
          <w:lang w:val="en-US" w:eastAsia="en-US"/>
        </w:rPr>
        <w:t xml:space="preserve"> </w:t>
      </w:r>
      <w:r w:rsidR="00C01426" w:rsidRPr="00065008">
        <w:rPr>
          <w:rFonts w:ascii="Arial" w:eastAsia="Arial MT" w:hAnsi="Arial" w:cs="Arial"/>
          <w:position w:val="1"/>
          <w:sz w:val="22"/>
          <w:szCs w:val="22"/>
          <w:lang w:val="en-US" w:eastAsia="en-US"/>
        </w:rPr>
        <w:t xml:space="preserve">concentration in Cheltenham has improved during 2024, which positive. </w:t>
      </w:r>
    </w:p>
    <w:p w14:paraId="4CD4878C" w14:textId="2FB391E9" w:rsidR="00A403F1" w:rsidRPr="000F5284" w:rsidRDefault="00A403F1" w:rsidP="0096681A">
      <w:pPr>
        <w:pStyle w:val="Indent1"/>
        <w:spacing w:after="240"/>
        <w:ind w:left="0" w:firstLine="0"/>
        <w:rPr>
          <w:rFonts w:ascii="Arial" w:hAnsi="Arial" w:cstheme="minorHAnsi"/>
          <w:sz w:val="22"/>
          <w:szCs w:val="22"/>
        </w:rPr>
      </w:pPr>
      <w:r>
        <w:rPr>
          <w:rFonts w:ascii="Arial" w:hAnsi="Arial" w:cs="Arial"/>
          <w:sz w:val="22"/>
          <w:szCs w:val="22"/>
        </w:rPr>
        <w:t xml:space="preserve">The Council conducted </w:t>
      </w:r>
      <w:r w:rsidR="000F5284">
        <w:rPr>
          <w:rFonts w:ascii="Arial" w:hAnsi="Arial" w:cs="Arial"/>
          <w:sz w:val="22"/>
          <w:szCs w:val="22"/>
        </w:rPr>
        <w:t xml:space="preserve">an </w:t>
      </w:r>
      <w:r>
        <w:rPr>
          <w:rFonts w:ascii="Arial" w:hAnsi="Arial" w:cs="Arial"/>
          <w:sz w:val="22"/>
          <w:szCs w:val="22"/>
        </w:rPr>
        <w:t>automatic (continuous) monitoring</w:t>
      </w:r>
      <w:r w:rsidR="000F5284">
        <w:rPr>
          <w:rFonts w:ascii="Arial" w:hAnsi="Arial" w:cs="Arial"/>
          <w:sz w:val="22"/>
          <w:szCs w:val="22"/>
        </w:rPr>
        <w:t xml:space="preserve"> of </w:t>
      </w:r>
      <w:r w:rsidR="000F5284" w:rsidRPr="000F5284">
        <w:rPr>
          <w:rFonts w:ascii="Arial" w:hAnsi="Arial" w:cs="Arial"/>
          <w:sz w:val="22"/>
          <w:szCs w:val="22"/>
        </w:rPr>
        <w:t>PM</w:t>
      </w:r>
      <w:r w:rsidR="000F5284" w:rsidRPr="000F5284">
        <w:rPr>
          <w:rFonts w:ascii="Arial" w:hAnsi="Arial" w:cs="Arial"/>
          <w:sz w:val="22"/>
          <w:szCs w:val="22"/>
          <w:vertAlign w:val="subscript"/>
        </w:rPr>
        <w:t xml:space="preserve">10 </w:t>
      </w:r>
      <w:r w:rsidR="000F5284" w:rsidRPr="000F5284">
        <w:rPr>
          <w:rFonts w:ascii="Arial" w:hAnsi="Arial" w:cs="Arial"/>
          <w:sz w:val="22"/>
          <w:szCs w:val="22"/>
        </w:rPr>
        <w:t>and PM</w:t>
      </w:r>
      <w:r w:rsidR="000F5284" w:rsidRPr="000F5284">
        <w:rPr>
          <w:rFonts w:ascii="Arial" w:hAnsi="Arial" w:cs="Arial"/>
          <w:sz w:val="22"/>
          <w:szCs w:val="22"/>
          <w:vertAlign w:val="subscript"/>
        </w:rPr>
        <w:t>2.5</w:t>
      </w:r>
      <w:r w:rsidRPr="000F5284">
        <w:rPr>
          <w:rFonts w:ascii="Arial" w:hAnsi="Arial" w:cs="Arial"/>
          <w:sz w:val="22"/>
          <w:szCs w:val="22"/>
          <w:vertAlign w:val="subscript"/>
        </w:rPr>
        <w:t xml:space="preserve"> </w:t>
      </w:r>
      <w:r>
        <w:rPr>
          <w:rFonts w:ascii="Arial" w:hAnsi="Arial" w:cs="Arial"/>
          <w:sz w:val="22"/>
          <w:szCs w:val="22"/>
        </w:rPr>
        <w:t>a</w:t>
      </w:r>
      <w:r w:rsidR="00C01426">
        <w:rPr>
          <w:rFonts w:ascii="Arial" w:hAnsi="Arial" w:cs="Arial"/>
          <w:sz w:val="22"/>
          <w:szCs w:val="22"/>
        </w:rPr>
        <w:t>t</w:t>
      </w:r>
      <w:r>
        <w:rPr>
          <w:rFonts w:ascii="Arial" w:hAnsi="Arial" w:cs="Arial"/>
          <w:sz w:val="22"/>
          <w:szCs w:val="22"/>
        </w:rPr>
        <w:t xml:space="preserve"> </w:t>
      </w:r>
      <w:r w:rsidR="00C01426" w:rsidRPr="00C01426">
        <w:rPr>
          <w:rFonts w:ascii="Arial" w:hAnsi="Arial" w:cs="Arial"/>
          <w:sz w:val="22"/>
          <w:szCs w:val="22"/>
        </w:rPr>
        <w:t xml:space="preserve">CM2 (Gloucester Road) </w:t>
      </w:r>
      <w:r>
        <w:rPr>
          <w:rFonts w:ascii="Arial" w:hAnsi="Arial" w:cs="Arial"/>
          <w:sz w:val="22"/>
          <w:szCs w:val="22"/>
        </w:rPr>
        <w:t>during 2024</w:t>
      </w:r>
      <w:r w:rsidR="000F5284">
        <w:rPr>
          <w:rFonts w:ascii="Arial" w:hAnsi="Arial" w:cs="Arial"/>
          <w:sz w:val="22"/>
          <w:szCs w:val="22"/>
        </w:rPr>
        <w:t xml:space="preserve">. </w:t>
      </w:r>
      <w:r>
        <w:rPr>
          <w:rFonts w:ascii="Arial" w:hAnsi="Arial" w:cstheme="minorHAnsi"/>
          <w:sz w:val="22"/>
          <w:szCs w:val="22"/>
        </w:rPr>
        <w:t xml:space="preserve">CM2 recorded annual mean </w:t>
      </w:r>
      <w:r w:rsidRPr="00D315D7">
        <w:rPr>
          <w:rFonts w:ascii="Arial" w:hAnsi="Arial" w:cstheme="minorHAnsi"/>
          <w:sz w:val="22"/>
          <w:szCs w:val="22"/>
        </w:rPr>
        <w:t>PM</w:t>
      </w:r>
      <w:r w:rsidRPr="00D315D7">
        <w:rPr>
          <w:rFonts w:ascii="Arial" w:hAnsi="Arial" w:cstheme="minorHAnsi"/>
          <w:sz w:val="22"/>
          <w:szCs w:val="22"/>
          <w:vertAlign w:val="subscript"/>
        </w:rPr>
        <w:t>10</w:t>
      </w:r>
      <w:r>
        <w:rPr>
          <w:rFonts w:ascii="Arial" w:hAnsi="Arial" w:cstheme="minorHAnsi"/>
          <w:sz w:val="22"/>
          <w:szCs w:val="22"/>
        </w:rPr>
        <w:t xml:space="preserve"> and </w:t>
      </w:r>
      <w:r w:rsidRPr="00A403F1">
        <w:rPr>
          <w:rFonts w:ascii="Arial" w:hAnsi="Arial" w:cstheme="minorHAnsi"/>
          <w:sz w:val="22"/>
          <w:szCs w:val="22"/>
        </w:rPr>
        <w:t>PM</w:t>
      </w:r>
      <w:r w:rsidRPr="00A403F1">
        <w:rPr>
          <w:rFonts w:ascii="Arial" w:hAnsi="Arial" w:cstheme="minorHAnsi"/>
          <w:sz w:val="22"/>
          <w:szCs w:val="22"/>
          <w:vertAlign w:val="subscript"/>
        </w:rPr>
        <w:t xml:space="preserve">2.5 </w:t>
      </w:r>
      <w:r>
        <w:rPr>
          <w:rFonts w:ascii="Arial" w:hAnsi="Arial" w:cstheme="minorHAnsi"/>
          <w:sz w:val="22"/>
          <w:szCs w:val="22"/>
        </w:rPr>
        <w:t xml:space="preserve">concentrations of 15.1 </w:t>
      </w:r>
      <w:r w:rsidRPr="00D315D7">
        <w:rPr>
          <w:rFonts w:ascii="Arial" w:hAnsi="Arial" w:cstheme="minorHAnsi"/>
          <w:sz w:val="22"/>
          <w:szCs w:val="22"/>
        </w:rPr>
        <w:t>µg/m</w:t>
      </w:r>
      <w:r w:rsidRPr="00D315D7">
        <w:rPr>
          <w:rFonts w:ascii="Arial" w:hAnsi="Arial" w:cstheme="minorHAnsi"/>
          <w:sz w:val="22"/>
          <w:szCs w:val="22"/>
          <w:vertAlign w:val="superscript"/>
        </w:rPr>
        <w:t>3</w:t>
      </w:r>
      <w:r w:rsidRPr="00D315D7">
        <w:rPr>
          <w:rFonts w:ascii="Arial" w:hAnsi="Arial" w:cstheme="minorHAnsi"/>
          <w:sz w:val="22"/>
          <w:szCs w:val="22"/>
        </w:rPr>
        <w:t xml:space="preserve"> </w:t>
      </w:r>
      <w:r>
        <w:rPr>
          <w:rFonts w:ascii="Arial" w:hAnsi="Arial" w:cstheme="minorHAnsi"/>
          <w:sz w:val="22"/>
          <w:szCs w:val="22"/>
        </w:rPr>
        <w:t xml:space="preserve">and 8.7 </w:t>
      </w:r>
      <w:r w:rsidRPr="00FB6681">
        <w:rPr>
          <w:rFonts w:ascii="Arial" w:hAnsi="Arial" w:cstheme="minorHAnsi"/>
          <w:sz w:val="22"/>
          <w:szCs w:val="22"/>
        </w:rPr>
        <w:t>µg/m</w:t>
      </w:r>
      <w:r w:rsidRPr="00FB6681">
        <w:rPr>
          <w:rFonts w:ascii="Arial" w:hAnsi="Arial" w:cstheme="minorHAnsi"/>
          <w:sz w:val="22"/>
          <w:szCs w:val="22"/>
          <w:vertAlign w:val="superscript"/>
        </w:rPr>
        <w:t>3</w:t>
      </w:r>
      <w:r>
        <w:rPr>
          <w:rFonts w:ascii="Arial" w:hAnsi="Arial" w:cstheme="minorHAnsi"/>
          <w:sz w:val="22"/>
          <w:szCs w:val="22"/>
        </w:rPr>
        <w:t xml:space="preserve"> respectively, both are below the respective AQOs. </w:t>
      </w:r>
      <w:r w:rsidR="000F5284">
        <w:rPr>
          <w:rFonts w:ascii="Arial MT" w:eastAsia="Arial MT" w:hAnsi="Arial MT" w:cs="Arial MT"/>
          <w:position w:val="1"/>
          <w:sz w:val="22"/>
          <w:szCs w:val="22"/>
          <w:lang w:val="en-US" w:eastAsia="en-US"/>
        </w:rPr>
        <w:t>I</w:t>
      </w:r>
      <w:r w:rsidR="000F5284" w:rsidRPr="000F5284">
        <w:rPr>
          <w:rFonts w:ascii="Arial MT" w:eastAsia="Arial MT" w:hAnsi="Arial MT" w:cs="Arial MT"/>
          <w:position w:val="1"/>
          <w:sz w:val="22"/>
          <w:szCs w:val="22"/>
          <w:lang w:val="en-US" w:eastAsia="en-US"/>
        </w:rPr>
        <w:t>t is evident that the concentrations of PM</w:t>
      </w:r>
      <w:r w:rsidR="000F5284" w:rsidRPr="000F5284">
        <w:rPr>
          <w:rFonts w:ascii="Arial MT" w:eastAsia="Arial MT" w:hAnsi="Arial MT" w:cs="Arial MT"/>
          <w:sz w:val="16"/>
          <w:szCs w:val="22"/>
          <w:lang w:val="en-US" w:eastAsia="en-US"/>
        </w:rPr>
        <w:t>10</w:t>
      </w:r>
      <w:r w:rsidR="000F5284" w:rsidRPr="000F5284">
        <w:rPr>
          <w:rFonts w:ascii="Arial MT" w:eastAsia="Arial MT" w:hAnsi="Arial MT" w:cs="Arial MT"/>
          <w:spacing w:val="31"/>
          <w:sz w:val="16"/>
          <w:szCs w:val="22"/>
          <w:lang w:val="en-US" w:eastAsia="en-US"/>
        </w:rPr>
        <w:t xml:space="preserve"> </w:t>
      </w:r>
      <w:r w:rsidR="000F5284" w:rsidRPr="000F5284">
        <w:rPr>
          <w:rFonts w:ascii="Arial MT" w:eastAsia="Arial MT" w:hAnsi="Arial MT" w:cs="Arial MT"/>
          <w:position w:val="1"/>
          <w:sz w:val="22"/>
          <w:szCs w:val="22"/>
          <w:lang w:val="en-US" w:eastAsia="en-US"/>
        </w:rPr>
        <w:t>and PM</w:t>
      </w:r>
      <w:r w:rsidR="000F5284" w:rsidRPr="000F5284">
        <w:rPr>
          <w:rFonts w:ascii="Arial MT" w:eastAsia="Arial MT" w:hAnsi="Arial MT" w:cs="Arial MT"/>
          <w:sz w:val="16"/>
          <w:szCs w:val="22"/>
          <w:lang w:val="en-US" w:eastAsia="en-US"/>
        </w:rPr>
        <w:t>2.5</w:t>
      </w:r>
      <w:r w:rsidR="000F5284" w:rsidRPr="000F5284">
        <w:rPr>
          <w:rFonts w:ascii="Arial MT" w:eastAsia="Arial MT" w:hAnsi="Arial MT" w:cs="Arial MT"/>
          <w:spacing w:val="30"/>
          <w:sz w:val="16"/>
          <w:szCs w:val="22"/>
          <w:lang w:val="en-US" w:eastAsia="en-US"/>
        </w:rPr>
        <w:t xml:space="preserve"> </w:t>
      </w:r>
      <w:r w:rsidR="000F5284" w:rsidRPr="000F5284">
        <w:rPr>
          <w:rFonts w:ascii="Arial MT" w:eastAsia="Arial MT" w:hAnsi="Arial MT" w:cs="Arial MT"/>
          <w:position w:val="1"/>
          <w:sz w:val="22"/>
          <w:szCs w:val="22"/>
          <w:lang w:val="en-US" w:eastAsia="en-US"/>
        </w:rPr>
        <w:t xml:space="preserve">remain low in </w:t>
      </w:r>
      <w:r w:rsidR="000F5284" w:rsidRPr="000F5284">
        <w:rPr>
          <w:rFonts w:ascii="Arial MT" w:eastAsia="Arial MT" w:hAnsi="Arial MT" w:cs="Arial MT"/>
          <w:sz w:val="22"/>
          <w:szCs w:val="22"/>
          <w:lang w:val="en-US" w:eastAsia="en-US"/>
        </w:rPr>
        <w:t>Cheltenham,</w:t>
      </w:r>
      <w:r w:rsidR="000F5284" w:rsidRPr="000F5284">
        <w:rPr>
          <w:rFonts w:ascii="Arial MT" w:eastAsia="Arial MT" w:hAnsi="Arial MT" w:cs="Arial MT"/>
          <w:spacing w:val="-5"/>
          <w:sz w:val="22"/>
          <w:szCs w:val="22"/>
          <w:lang w:val="en-US" w:eastAsia="en-US"/>
        </w:rPr>
        <w:t xml:space="preserve"> </w:t>
      </w:r>
      <w:r w:rsidR="000F5284" w:rsidRPr="000F5284">
        <w:rPr>
          <w:rFonts w:ascii="Arial MT" w:eastAsia="Arial MT" w:hAnsi="Arial MT" w:cs="Arial MT"/>
          <w:sz w:val="22"/>
          <w:szCs w:val="22"/>
          <w:lang w:val="en-US" w:eastAsia="en-US"/>
        </w:rPr>
        <w:t>and</w:t>
      </w:r>
      <w:r w:rsidR="000F5284" w:rsidRPr="000F5284">
        <w:rPr>
          <w:rFonts w:ascii="Arial MT" w:eastAsia="Arial MT" w:hAnsi="Arial MT" w:cs="Arial MT"/>
          <w:spacing w:val="-5"/>
          <w:sz w:val="22"/>
          <w:szCs w:val="22"/>
          <w:lang w:val="en-US" w:eastAsia="en-US"/>
        </w:rPr>
        <w:t xml:space="preserve"> </w:t>
      </w:r>
      <w:r w:rsidR="000F5284" w:rsidRPr="000F5284">
        <w:rPr>
          <w:rFonts w:ascii="Arial MT" w:eastAsia="Arial MT" w:hAnsi="Arial MT" w:cs="Arial MT"/>
          <w:sz w:val="22"/>
          <w:szCs w:val="22"/>
          <w:lang w:val="en-US" w:eastAsia="en-US"/>
        </w:rPr>
        <w:t>there</w:t>
      </w:r>
      <w:r w:rsidR="000F5284" w:rsidRPr="000F5284">
        <w:rPr>
          <w:rFonts w:ascii="Arial MT" w:eastAsia="Arial MT" w:hAnsi="Arial MT" w:cs="Arial MT"/>
          <w:spacing w:val="-6"/>
          <w:sz w:val="22"/>
          <w:szCs w:val="22"/>
          <w:lang w:val="en-US" w:eastAsia="en-US"/>
        </w:rPr>
        <w:t xml:space="preserve"> </w:t>
      </w:r>
      <w:r w:rsidR="000F5284" w:rsidRPr="000F5284">
        <w:rPr>
          <w:rFonts w:ascii="Arial MT" w:eastAsia="Arial MT" w:hAnsi="Arial MT" w:cs="Arial MT"/>
          <w:sz w:val="22"/>
          <w:szCs w:val="22"/>
          <w:lang w:val="en-US" w:eastAsia="en-US"/>
        </w:rPr>
        <w:t>has</w:t>
      </w:r>
      <w:r w:rsidR="000F5284" w:rsidRPr="000F5284">
        <w:rPr>
          <w:rFonts w:ascii="Arial MT" w:eastAsia="Arial MT" w:hAnsi="Arial MT" w:cs="Arial MT"/>
          <w:spacing w:val="-5"/>
          <w:sz w:val="22"/>
          <w:szCs w:val="22"/>
          <w:lang w:val="en-US" w:eastAsia="en-US"/>
        </w:rPr>
        <w:t xml:space="preserve"> </w:t>
      </w:r>
      <w:r w:rsidR="000F5284" w:rsidRPr="000F5284">
        <w:rPr>
          <w:rFonts w:ascii="Arial MT" w:eastAsia="Arial MT" w:hAnsi="Arial MT" w:cs="Arial MT"/>
          <w:sz w:val="22"/>
          <w:szCs w:val="22"/>
          <w:lang w:val="en-US" w:eastAsia="en-US"/>
        </w:rPr>
        <w:t>been</w:t>
      </w:r>
      <w:r w:rsidR="000F5284" w:rsidRPr="000F5284">
        <w:rPr>
          <w:rFonts w:ascii="Arial MT" w:eastAsia="Arial MT" w:hAnsi="Arial MT" w:cs="Arial MT"/>
          <w:spacing w:val="-3"/>
          <w:sz w:val="22"/>
          <w:szCs w:val="22"/>
          <w:lang w:val="en-US" w:eastAsia="en-US"/>
        </w:rPr>
        <w:t xml:space="preserve"> </w:t>
      </w:r>
      <w:r w:rsidR="00514EA8">
        <w:rPr>
          <w:rFonts w:ascii="Arial MT" w:eastAsia="Arial MT" w:hAnsi="Arial MT" w:cs="Arial MT"/>
          <w:sz w:val="22"/>
          <w:szCs w:val="22"/>
          <w:lang w:val="en-US" w:eastAsia="en-US"/>
        </w:rPr>
        <w:t xml:space="preserve">an </w:t>
      </w:r>
      <w:r w:rsidR="000F5284" w:rsidRPr="000F5284">
        <w:rPr>
          <w:rFonts w:ascii="Arial MT" w:eastAsia="Arial MT" w:hAnsi="Arial MT" w:cs="Arial MT"/>
          <w:sz w:val="22"/>
          <w:szCs w:val="22"/>
          <w:lang w:val="en-US" w:eastAsia="en-US"/>
        </w:rPr>
        <w:t>improvement</w:t>
      </w:r>
      <w:r w:rsidR="000F5284" w:rsidRPr="000F5284">
        <w:rPr>
          <w:rFonts w:ascii="Arial MT" w:eastAsia="Arial MT" w:hAnsi="Arial MT" w:cs="Arial MT"/>
          <w:spacing w:val="-3"/>
          <w:sz w:val="22"/>
          <w:szCs w:val="22"/>
          <w:lang w:val="en-US" w:eastAsia="en-US"/>
        </w:rPr>
        <w:t xml:space="preserve"> </w:t>
      </w:r>
      <w:r w:rsidR="000F5284" w:rsidRPr="000F5284">
        <w:rPr>
          <w:rFonts w:ascii="Arial MT" w:eastAsia="Arial MT" w:hAnsi="Arial MT" w:cs="Arial MT"/>
          <w:sz w:val="22"/>
          <w:szCs w:val="22"/>
          <w:lang w:val="en-US" w:eastAsia="en-US"/>
        </w:rPr>
        <w:t>in</w:t>
      </w:r>
      <w:r w:rsidR="000F5284" w:rsidRPr="000F5284">
        <w:rPr>
          <w:rFonts w:ascii="Arial MT" w:eastAsia="Arial MT" w:hAnsi="Arial MT" w:cs="Arial MT"/>
          <w:spacing w:val="-3"/>
          <w:sz w:val="22"/>
          <w:szCs w:val="22"/>
          <w:lang w:val="en-US" w:eastAsia="en-US"/>
        </w:rPr>
        <w:t xml:space="preserve"> </w:t>
      </w:r>
      <w:r w:rsidR="000F5284" w:rsidRPr="000F5284">
        <w:rPr>
          <w:rFonts w:ascii="Arial MT" w:eastAsia="Arial MT" w:hAnsi="Arial MT" w:cs="Arial MT"/>
          <w:sz w:val="22"/>
          <w:szCs w:val="22"/>
          <w:lang w:val="en-US" w:eastAsia="en-US"/>
        </w:rPr>
        <w:t>concentrations recorded</w:t>
      </w:r>
      <w:r w:rsidR="000F5284" w:rsidRPr="000F5284">
        <w:rPr>
          <w:rFonts w:ascii="Arial MT" w:eastAsia="Arial MT" w:hAnsi="Arial MT" w:cs="Arial MT"/>
          <w:spacing w:val="-3"/>
          <w:sz w:val="22"/>
          <w:szCs w:val="22"/>
          <w:lang w:val="en-US" w:eastAsia="en-US"/>
        </w:rPr>
        <w:t xml:space="preserve"> </w:t>
      </w:r>
      <w:r w:rsidR="000F5284" w:rsidRPr="000F5284">
        <w:rPr>
          <w:rFonts w:ascii="Arial MT" w:eastAsia="Arial MT" w:hAnsi="Arial MT" w:cs="Arial MT"/>
          <w:sz w:val="22"/>
          <w:szCs w:val="22"/>
          <w:lang w:val="en-US" w:eastAsia="en-US"/>
        </w:rPr>
        <w:t>in</w:t>
      </w:r>
      <w:r w:rsidR="000F5284" w:rsidRPr="000F5284">
        <w:rPr>
          <w:rFonts w:ascii="Arial MT" w:eastAsia="Arial MT" w:hAnsi="Arial MT" w:cs="Arial MT"/>
          <w:spacing w:val="-3"/>
          <w:sz w:val="22"/>
          <w:szCs w:val="22"/>
          <w:lang w:val="en-US" w:eastAsia="en-US"/>
        </w:rPr>
        <w:t xml:space="preserve"> </w:t>
      </w:r>
      <w:r w:rsidR="000F5284" w:rsidRPr="000F5284">
        <w:rPr>
          <w:rFonts w:ascii="Arial MT" w:eastAsia="Arial MT" w:hAnsi="Arial MT" w:cs="Arial MT"/>
          <w:sz w:val="22"/>
          <w:szCs w:val="22"/>
          <w:lang w:val="en-US" w:eastAsia="en-US"/>
        </w:rPr>
        <w:t>the first two years that the automatic monitoring station has been operational</w:t>
      </w:r>
      <w:r w:rsidR="000F5284">
        <w:rPr>
          <w:rFonts w:ascii="Arial" w:hAnsi="Arial" w:cstheme="minorHAnsi"/>
          <w:sz w:val="22"/>
          <w:szCs w:val="22"/>
        </w:rPr>
        <w:t>.</w:t>
      </w:r>
    </w:p>
    <w:p w14:paraId="605917C9" w14:textId="774A7625" w:rsidR="00494E85" w:rsidRDefault="00385086" w:rsidP="0096681A">
      <w:pPr>
        <w:pStyle w:val="Indent1"/>
        <w:spacing w:after="240"/>
        <w:ind w:left="0" w:firstLine="0"/>
        <w:rPr>
          <w:rFonts w:ascii="Arial" w:hAnsi="Arial" w:cs="Arial"/>
          <w:sz w:val="22"/>
          <w:szCs w:val="22"/>
        </w:rPr>
      </w:pPr>
      <w:r>
        <w:rPr>
          <w:rFonts w:ascii="Arial" w:hAnsi="Arial" w:cs="Arial"/>
          <w:sz w:val="22"/>
          <w:szCs w:val="22"/>
        </w:rPr>
        <w:t xml:space="preserve">The </w:t>
      </w:r>
      <w:r w:rsidRPr="00385086">
        <w:rPr>
          <w:rFonts w:ascii="Arial" w:hAnsi="Arial" w:cs="Arial"/>
          <w:sz w:val="22"/>
          <w:szCs w:val="22"/>
        </w:rPr>
        <w:t>diffusion tubes were supplied and analysed by Gradko International</w:t>
      </w:r>
      <w:r w:rsidRPr="00385086">
        <w:t xml:space="preserve"> </w:t>
      </w:r>
      <w:r w:rsidRPr="00385086">
        <w:rPr>
          <w:rFonts w:ascii="Arial" w:hAnsi="Arial" w:cs="Arial"/>
          <w:sz w:val="22"/>
          <w:szCs w:val="22"/>
        </w:rPr>
        <w:t>UKAS accredited laboratory</w:t>
      </w:r>
      <w:r>
        <w:rPr>
          <w:rFonts w:ascii="Arial" w:hAnsi="Arial" w:cs="Arial"/>
          <w:sz w:val="22"/>
          <w:szCs w:val="22"/>
        </w:rPr>
        <w:t xml:space="preserve">, </w:t>
      </w:r>
      <w:r w:rsidRPr="00385086">
        <w:rPr>
          <w:rFonts w:ascii="Arial" w:hAnsi="Arial" w:cs="Arial"/>
          <w:sz w:val="22"/>
          <w:szCs w:val="22"/>
        </w:rPr>
        <w:t>using the 20% TEA in water preparation method</w:t>
      </w:r>
      <w:r>
        <w:rPr>
          <w:rFonts w:ascii="Arial" w:hAnsi="Arial" w:cs="Arial"/>
          <w:sz w:val="22"/>
          <w:szCs w:val="22"/>
        </w:rPr>
        <w:t xml:space="preserve"> during the 2024 monitoring year</w:t>
      </w:r>
      <w:r w:rsidRPr="00385086">
        <w:rPr>
          <w:rFonts w:ascii="Arial" w:hAnsi="Arial" w:cs="Arial"/>
          <w:sz w:val="22"/>
          <w:szCs w:val="22"/>
        </w:rPr>
        <w:t>.</w:t>
      </w:r>
      <w:r>
        <w:rPr>
          <w:rFonts w:ascii="Arial" w:hAnsi="Arial" w:cs="Arial"/>
          <w:sz w:val="22"/>
          <w:szCs w:val="22"/>
        </w:rPr>
        <w:t xml:space="preserve"> The laboratory </w:t>
      </w:r>
      <w:r w:rsidR="005A493F">
        <w:rPr>
          <w:rFonts w:ascii="Arial" w:hAnsi="Arial" w:cs="Arial"/>
          <w:sz w:val="22"/>
          <w:szCs w:val="22"/>
        </w:rPr>
        <w:t>participates</w:t>
      </w:r>
      <w:r>
        <w:rPr>
          <w:rFonts w:ascii="Arial" w:hAnsi="Arial" w:cs="Arial"/>
          <w:sz w:val="22"/>
          <w:szCs w:val="22"/>
        </w:rPr>
        <w:t xml:space="preserve"> in the AIR-Proficiency </w:t>
      </w:r>
      <w:r w:rsidR="0009306D">
        <w:rPr>
          <w:rFonts w:ascii="Arial" w:hAnsi="Arial" w:cs="Arial"/>
          <w:sz w:val="22"/>
          <w:szCs w:val="22"/>
        </w:rPr>
        <w:t>Testing (</w:t>
      </w:r>
      <w:r>
        <w:rPr>
          <w:rFonts w:ascii="Arial" w:hAnsi="Arial" w:cs="Arial"/>
          <w:sz w:val="22"/>
          <w:szCs w:val="22"/>
        </w:rPr>
        <w:t xml:space="preserve">PT) scheme and it </w:t>
      </w:r>
      <w:r w:rsidRPr="00385086">
        <w:rPr>
          <w:rFonts w:ascii="Arial" w:hAnsi="Arial" w:cs="Arial"/>
          <w:sz w:val="22"/>
          <w:szCs w:val="22"/>
        </w:rPr>
        <w:t>received a score of 100% – the percentage score reflects the results deemed satisfactory</w:t>
      </w:r>
      <w:r>
        <w:rPr>
          <w:rFonts w:ascii="Arial" w:hAnsi="Arial" w:cs="Arial"/>
          <w:sz w:val="22"/>
          <w:szCs w:val="22"/>
        </w:rPr>
        <w:t xml:space="preserve">. </w:t>
      </w:r>
      <w:r w:rsidR="005A493F">
        <w:rPr>
          <w:rFonts w:ascii="Arial" w:hAnsi="Arial" w:cs="Arial"/>
          <w:sz w:val="22"/>
          <w:szCs w:val="22"/>
        </w:rPr>
        <w:t xml:space="preserve">Quality Assurance </w:t>
      </w:r>
      <w:r w:rsidR="0009306D">
        <w:rPr>
          <w:rFonts w:ascii="Arial" w:hAnsi="Arial" w:cs="Arial"/>
          <w:sz w:val="22"/>
          <w:szCs w:val="22"/>
        </w:rPr>
        <w:t xml:space="preserve">or </w:t>
      </w:r>
      <w:r w:rsidR="0009306D">
        <w:rPr>
          <w:rFonts w:ascii="Arial" w:hAnsi="Arial" w:cs="Arial"/>
          <w:sz w:val="22"/>
          <w:szCs w:val="22"/>
        </w:rPr>
        <w:lastRenderedPageBreak/>
        <w:t>Quality</w:t>
      </w:r>
      <w:r w:rsidR="005A493F">
        <w:rPr>
          <w:rFonts w:ascii="Arial" w:hAnsi="Arial" w:cs="Arial"/>
          <w:sz w:val="22"/>
          <w:szCs w:val="22"/>
        </w:rPr>
        <w:t xml:space="preserve"> Control (</w:t>
      </w:r>
      <w:r w:rsidR="006A0BBC">
        <w:rPr>
          <w:rFonts w:ascii="Arial" w:hAnsi="Arial" w:cs="Arial"/>
          <w:sz w:val="22"/>
          <w:szCs w:val="22"/>
        </w:rPr>
        <w:t>QA/QC</w:t>
      </w:r>
      <w:r w:rsidR="005A493F">
        <w:rPr>
          <w:rFonts w:ascii="Arial" w:hAnsi="Arial" w:cs="Arial"/>
          <w:sz w:val="22"/>
          <w:szCs w:val="22"/>
        </w:rPr>
        <w:t>)</w:t>
      </w:r>
      <w:r w:rsidR="006A0BBC">
        <w:rPr>
          <w:rFonts w:ascii="Arial" w:hAnsi="Arial" w:cs="Arial"/>
          <w:sz w:val="22"/>
          <w:szCs w:val="22"/>
        </w:rPr>
        <w:t xml:space="preserve"> of monitoring data has been discussed, </w:t>
      </w:r>
      <w:r w:rsidR="00663470">
        <w:rPr>
          <w:rFonts w:ascii="Arial" w:hAnsi="Arial" w:cs="Arial"/>
          <w:sz w:val="22"/>
          <w:szCs w:val="22"/>
        </w:rPr>
        <w:t>with a local bias adjustment factor of 0.</w:t>
      </w:r>
      <w:r w:rsidR="000F5284">
        <w:rPr>
          <w:rFonts w:ascii="Arial" w:hAnsi="Arial" w:cs="Arial"/>
          <w:sz w:val="22"/>
          <w:szCs w:val="22"/>
        </w:rPr>
        <w:t xml:space="preserve">91 </w:t>
      </w:r>
      <w:r w:rsidR="00663470">
        <w:rPr>
          <w:rFonts w:ascii="Arial" w:hAnsi="Arial" w:cs="Arial"/>
          <w:sz w:val="22"/>
          <w:szCs w:val="22"/>
        </w:rPr>
        <w:t xml:space="preserve">applied to the </w:t>
      </w:r>
      <w:r w:rsidR="00DE1B12">
        <w:rPr>
          <w:rFonts w:ascii="Arial" w:hAnsi="Arial" w:cs="Arial"/>
          <w:sz w:val="22"/>
          <w:szCs w:val="22"/>
        </w:rPr>
        <w:t xml:space="preserve">results, with appropriate calculations provided. </w:t>
      </w:r>
      <w:r w:rsidR="00844DC4">
        <w:rPr>
          <w:rFonts w:ascii="Arial" w:hAnsi="Arial" w:cs="Arial"/>
          <w:sz w:val="22"/>
          <w:szCs w:val="22"/>
        </w:rPr>
        <w:t>One location required annualisation during 202</w:t>
      </w:r>
      <w:r>
        <w:rPr>
          <w:rFonts w:ascii="Arial" w:hAnsi="Arial" w:cs="Arial"/>
          <w:sz w:val="22"/>
          <w:szCs w:val="22"/>
        </w:rPr>
        <w:t>4</w:t>
      </w:r>
      <w:r w:rsidR="00844DC4">
        <w:rPr>
          <w:rFonts w:ascii="Arial" w:hAnsi="Arial" w:cs="Arial"/>
          <w:sz w:val="22"/>
          <w:szCs w:val="22"/>
        </w:rPr>
        <w:t xml:space="preserve"> (</w:t>
      </w:r>
      <w:r w:rsidR="00490655">
        <w:rPr>
          <w:rFonts w:ascii="Arial" w:hAnsi="Arial" w:cs="Arial"/>
          <w:sz w:val="22"/>
          <w:szCs w:val="22"/>
        </w:rPr>
        <w:t>Diffusion Tube ID:</w:t>
      </w:r>
      <w:r w:rsidR="005A493F">
        <w:rPr>
          <w:rFonts w:ascii="Arial" w:hAnsi="Arial" w:cs="Arial"/>
          <w:sz w:val="22"/>
          <w:szCs w:val="22"/>
        </w:rPr>
        <w:t xml:space="preserve"> 51</w:t>
      </w:r>
      <w:r w:rsidR="00490655">
        <w:rPr>
          <w:rFonts w:ascii="Arial" w:hAnsi="Arial" w:cs="Arial"/>
          <w:sz w:val="22"/>
          <w:szCs w:val="22"/>
        </w:rPr>
        <w:t>) and</w:t>
      </w:r>
      <w:r w:rsidR="005A493F">
        <w:rPr>
          <w:rFonts w:ascii="Arial" w:hAnsi="Arial" w:cs="Arial"/>
          <w:sz w:val="22"/>
          <w:szCs w:val="22"/>
        </w:rPr>
        <w:t xml:space="preserve"> </w:t>
      </w:r>
      <w:r w:rsidR="005A493F" w:rsidRPr="005A493F">
        <w:rPr>
          <w:rFonts w:ascii="Arial" w:hAnsi="Arial" w:cs="Arial"/>
          <w:sz w:val="22"/>
          <w:szCs w:val="22"/>
        </w:rPr>
        <w:t>no diffusion tube site within Cheltenham required distance correction</w:t>
      </w:r>
      <w:r w:rsidR="005A493F">
        <w:rPr>
          <w:rFonts w:ascii="Arial" w:hAnsi="Arial" w:cs="Arial"/>
          <w:sz w:val="22"/>
          <w:szCs w:val="22"/>
        </w:rPr>
        <w:t xml:space="preserve"> during 2024</w:t>
      </w:r>
      <w:r w:rsidR="006A766A">
        <w:rPr>
          <w:rFonts w:ascii="Arial" w:hAnsi="Arial" w:cs="Arial"/>
          <w:sz w:val="22"/>
          <w:szCs w:val="22"/>
        </w:rPr>
        <w:t>. The Council have provided excell</w:t>
      </w:r>
      <w:r w:rsidR="009220B6">
        <w:rPr>
          <w:rFonts w:ascii="Arial" w:hAnsi="Arial" w:cs="Arial"/>
          <w:sz w:val="22"/>
          <w:szCs w:val="22"/>
        </w:rPr>
        <w:t>ent mapping of all monitoring locations within the network.</w:t>
      </w:r>
    </w:p>
    <w:p w14:paraId="1FAB82D1" w14:textId="46D23CC5" w:rsidR="009220B6" w:rsidRPr="0009306D" w:rsidRDefault="009220B6" w:rsidP="0095259E">
      <w:pPr>
        <w:pStyle w:val="Indent1"/>
        <w:spacing w:after="240"/>
        <w:ind w:left="0" w:firstLine="0"/>
        <w:rPr>
          <w:rFonts w:ascii="Arial" w:hAnsi="Arial" w:cs="Arial"/>
          <w:sz w:val="22"/>
          <w:szCs w:val="22"/>
        </w:rPr>
      </w:pPr>
      <w:r w:rsidRPr="0009306D">
        <w:rPr>
          <w:rFonts w:ascii="Arial" w:hAnsi="Arial" w:cs="Arial"/>
          <w:sz w:val="22"/>
          <w:szCs w:val="22"/>
        </w:rPr>
        <w:t>During 202</w:t>
      </w:r>
      <w:r w:rsidR="00497B26" w:rsidRPr="0009306D">
        <w:rPr>
          <w:rFonts w:ascii="Arial" w:hAnsi="Arial" w:cs="Arial"/>
          <w:sz w:val="22"/>
          <w:szCs w:val="22"/>
        </w:rPr>
        <w:t>4</w:t>
      </w:r>
      <w:r w:rsidRPr="0009306D">
        <w:rPr>
          <w:rFonts w:ascii="Arial" w:hAnsi="Arial" w:cs="Arial"/>
          <w:sz w:val="22"/>
          <w:szCs w:val="22"/>
        </w:rPr>
        <w:t>, CBC</w:t>
      </w:r>
      <w:r w:rsidR="00DA1711" w:rsidRPr="0009306D">
        <w:rPr>
          <w:rFonts w:ascii="Arial" w:hAnsi="Arial" w:cs="Arial"/>
          <w:sz w:val="22"/>
          <w:szCs w:val="22"/>
        </w:rPr>
        <w:t xml:space="preserve"> complet</w:t>
      </w:r>
      <w:r w:rsidR="00514EA8">
        <w:rPr>
          <w:rFonts w:ascii="Arial" w:hAnsi="Arial" w:cs="Arial"/>
          <w:sz w:val="22"/>
          <w:szCs w:val="22"/>
        </w:rPr>
        <w:t xml:space="preserve">ed </w:t>
      </w:r>
      <w:r w:rsidR="00DA1711" w:rsidRPr="0009306D">
        <w:rPr>
          <w:rFonts w:ascii="Arial" w:hAnsi="Arial" w:cs="Arial"/>
          <w:sz w:val="22"/>
          <w:szCs w:val="22"/>
        </w:rPr>
        <w:t xml:space="preserve">several key measures relating to air quality. </w:t>
      </w:r>
      <w:r w:rsidR="00514EA8">
        <w:rPr>
          <w:rFonts w:ascii="Arial" w:hAnsi="Arial" w:cs="Arial"/>
          <w:sz w:val="22"/>
          <w:szCs w:val="22"/>
        </w:rPr>
        <w:t xml:space="preserve">The top three </w:t>
      </w:r>
      <w:r w:rsidR="00DA1711" w:rsidRPr="0009306D">
        <w:rPr>
          <w:rFonts w:ascii="Arial" w:hAnsi="Arial" w:cs="Arial"/>
          <w:sz w:val="22"/>
          <w:szCs w:val="22"/>
        </w:rPr>
        <w:t>of these include</w:t>
      </w:r>
      <w:r w:rsidR="00514EA8">
        <w:rPr>
          <w:rFonts w:ascii="Arial" w:hAnsi="Arial" w:cs="Arial"/>
          <w:sz w:val="22"/>
          <w:szCs w:val="22"/>
        </w:rPr>
        <w:t xml:space="preserve"> the following</w:t>
      </w:r>
      <w:r w:rsidR="00DA1711" w:rsidRPr="0009306D">
        <w:rPr>
          <w:rFonts w:ascii="Arial" w:hAnsi="Arial" w:cs="Arial"/>
          <w:sz w:val="22"/>
          <w:szCs w:val="22"/>
        </w:rPr>
        <w:t>.</w:t>
      </w:r>
      <w:r w:rsidR="00514EA8">
        <w:rPr>
          <w:rFonts w:ascii="Arial" w:hAnsi="Arial" w:cs="Arial"/>
          <w:sz w:val="22"/>
          <w:szCs w:val="22"/>
        </w:rPr>
        <w:t xml:space="preserve"> </w:t>
      </w:r>
      <w:r w:rsidR="00514EA8" w:rsidRPr="00A731A1">
        <w:rPr>
          <w:rFonts w:ascii="Arial" w:hAnsi="Arial" w:cs="Arial"/>
          <w:sz w:val="22"/>
          <w:szCs w:val="22"/>
        </w:rPr>
        <w:t>These measures will be fed into UK-AIR to raise awareness amongst local communities of local authority action to improve air quality</w:t>
      </w:r>
      <w:r w:rsidR="008D6BA5">
        <w:rPr>
          <w:rFonts w:ascii="Arial" w:hAnsi="Arial" w:cs="Arial"/>
          <w:sz w:val="22"/>
          <w:szCs w:val="22"/>
        </w:rPr>
        <w:t>.</w:t>
      </w:r>
    </w:p>
    <w:p w14:paraId="71766536" w14:textId="0A723EE4" w:rsidR="00497B26" w:rsidRPr="00497B26" w:rsidRDefault="00514EA8" w:rsidP="00497B26">
      <w:pPr>
        <w:pStyle w:val="Indent1"/>
        <w:numPr>
          <w:ilvl w:val="0"/>
          <w:numId w:val="39"/>
        </w:numPr>
        <w:spacing w:after="240"/>
        <w:jc w:val="left"/>
        <w:rPr>
          <w:rFonts w:ascii="Arial" w:hAnsi="Arial" w:cs="Arial"/>
          <w:sz w:val="22"/>
          <w:szCs w:val="22"/>
          <w:lang w:val="en-US"/>
        </w:rPr>
      </w:pPr>
      <w:r>
        <w:rPr>
          <w:rFonts w:ascii="Arial" w:hAnsi="Arial" w:cs="Arial"/>
          <w:sz w:val="22"/>
          <w:szCs w:val="22"/>
          <w:lang w:val="en-US"/>
        </w:rPr>
        <w:t xml:space="preserve">Develop </w:t>
      </w:r>
      <w:r w:rsidR="00497B26" w:rsidRPr="00497B26">
        <w:rPr>
          <w:rFonts w:ascii="Arial" w:hAnsi="Arial" w:cs="Arial"/>
          <w:sz w:val="22"/>
          <w:szCs w:val="22"/>
          <w:lang w:val="en-US"/>
        </w:rPr>
        <w:t>an Air Quality Strategy to replace the AQAP, following the revocation of the AQMA;</w:t>
      </w:r>
    </w:p>
    <w:p w14:paraId="6615ADB2" w14:textId="77777777" w:rsidR="00497B26" w:rsidRPr="00497B26" w:rsidRDefault="00497B26" w:rsidP="00497B26">
      <w:pPr>
        <w:pStyle w:val="Indent1"/>
        <w:numPr>
          <w:ilvl w:val="0"/>
          <w:numId w:val="39"/>
        </w:numPr>
        <w:spacing w:after="240"/>
        <w:jc w:val="left"/>
        <w:rPr>
          <w:rFonts w:ascii="Arial" w:hAnsi="Arial" w:cs="Arial"/>
          <w:sz w:val="22"/>
          <w:szCs w:val="22"/>
          <w:lang w:val="en-US"/>
        </w:rPr>
      </w:pPr>
      <w:r w:rsidRPr="00497B26">
        <w:rPr>
          <w:rFonts w:ascii="Arial" w:hAnsi="Arial" w:cs="Arial"/>
          <w:sz w:val="22"/>
          <w:szCs w:val="22"/>
          <w:lang w:val="en-US"/>
        </w:rPr>
        <w:t>Review boundaries of the smoke control areas (SCAs) and declare any new / amend existing boundaries as necessary;</w:t>
      </w:r>
    </w:p>
    <w:p w14:paraId="68B560DA" w14:textId="77777777" w:rsidR="00497B26" w:rsidRPr="00497B26" w:rsidRDefault="00497B26" w:rsidP="00497B26">
      <w:pPr>
        <w:pStyle w:val="Indent1"/>
        <w:numPr>
          <w:ilvl w:val="0"/>
          <w:numId w:val="39"/>
        </w:numPr>
        <w:spacing w:after="240"/>
        <w:rPr>
          <w:rFonts w:ascii="Arial" w:hAnsi="Arial" w:cs="Arial"/>
          <w:sz w:val="22"/>
          <w:szCs w:val="22"/>
          <w:lang w:val="en-US"/>
        </w:rPr>
      </w:pPr>
      <w:r w:rsidRPr="00497B26">
        <w:rPr>
          <w:rFonts w:ascii="Arial" w:hAnsi="Arial" w:cs="Arial"/>
          <w:sz w:val="22"/>
          <w:szCs w:val="22"/>
          <w:lang w:val="en-US"/>
        </w:rPr>
        <w:t>Promote anti-idling campaigns to reduce emissions from vehicle traffic.</w:t>
      </w:r>
    </w:p>
    <w:p w14:paraId="692A528B" w14:textId="6C2F09B2" w:rsidR="008D6BA5" w:rsidRDefault="008D6BA5" w:rsidP="008D29A5">
      <w:pPr>
        <w:pStyle w:val="Indent1"/>
        <w:spacing w:after="240"/>
        <w:ind w:left="0" w:firstLine="0"/>
        <w:jc w:val="left"/>
        <w:rPr>
          <w:rFonts w:ascii="Arial" w:hAnsi="Arial" w:cs="Arial"/>
          <w:sz w:val="22"/>
          <w:szCs w:val="22"/>
        </w:rPr>
      </w:pPr>
      <w:r>
        <w:rPr>
          <w:rFonts w:ascii="Arial" w:hAnsi="Arial" w:cs="Arial"/>
          <w:sz w:val="22"/>
          <w:szCs w:val="22"/>
        </w:rPr>
        <w:t>Progress on further measures has been outlined in Table 2.3, providing good detail on specific actions taken forward as of April 2025. This includes setting a new and more ambitious local target for annual mean NO2, which may be included within the upcoming Air Quality Strategy.</w:t>
      </w:r>
    </w:p>
    <w:p w14:paraId="704E0153" w14:textId="102EA987" w:rsidR="002D68CA" w:rsidRPr="00AC0865" w:rsidRDefault="00DC5102" w:rsidP="008D29A5">
      <w:pPr>
        <w:pStyle w:val="Indent1"/>
        <w:spacing w:after="240"/>
        <w:ind w:left="0" w:firstLine="0"/>
        <w:jc w:val="left"/>
        <w:rPr>
          <w:rFonts w:ascii="Arial" w:hAnsi="Arial" w:cs="Arial"/>
          <w:sz w:val="22"/>
          <w:szCs w:val="22"/>
        </w:rPr>
      </w:pPr>
      <w:r w:rsidRPr="00DC5102">
        <w:rPr>
          <w:rFonts w:ascii="Arial" w:hAnsi="Arial" w:cs="Arial"/>
          <w:sz w:val="22"/>
          <w:szCs w:val="22"/>
        </w:rPr>
        <w:t xml:space="preserve">Defra recommends that Directors of Public Health approve draft ASRs. Sign off is not a </w:t>
      </w:r>
      <w:r w:rsidR="008D29A5">
        <w:rPr>
          <w:rFonts w:ascii="Arial" w:hAnsi="Arial" w:cs="Arial"/>
          <w:sz w:val="22"/>
          <w:szCs w:val="22"/>
        </w:rPr>
        <w:t xml:space="preserve">requirement, however collaboration and </w:t>
      </w:r>
      <w:r w:rsidR="007F16A3">
        <w:rPr>
          <w:rFonts w:ascii="Arial" w:hAnsi="Arial" w:cs="Arial"/>
          <w:sz w:val="22"/>
          <w:szCs w:val="22"/>
        </w:rPr>
        <w:t>consultation</w:t>
      </w:r>
      <w:r w:rsidR="008D29A5">
        <w:rPr>
          <w:rFonts w:ascii="Arial" w:hAnsi="Arial" w:cs="Arial"/>
          <w:sz w:val="22"/>
          <w:szCs w:val="22"/>
        </w:rPr>
        <w:t xml:space="preserve"> with those who have </w:t>
      </w:r>
      <w:r w:rsidR="007F16A3">
        <w:rPr>
          <w:rFonts w:ascii="Arial" w:hAnsi="Arial" w:cs="Arial"/>
          <w:sz w:val="22"/>
          <w:szCs w:val="22"/>
        </w:rPr>
        <w:t>re</w:t>
      </w:r>
      <w:r w:rsidR="007F16A3" w:rsidRPr="007F16A3">
        <w:rPr>
          <w:rFonts w:ascii="Arial" w:hAnsi="Arial" w:cs="Arial"/>
          <w:sz w:val="22"/>
          <w:szCs w:val="22"/>
        </w:rPr>
        <w:t>sponsibility for Public Health is expected to increase support for measures to improve air quality, with co-benefits for all. Please bear this in mind for the next annual reporting process.</w:t>
      </w:r>
    </w:p>
    <w:p w14:paraId="312078A6" w14:textId="394EFD77" w:rsidR="00BB1FEC" w:rsidRPr="007F16A3" w:rsidRDefault="00BB1FEC" w:rsidP="0095259E">
      <w:pPr>
        <w:pStyle w:val="Indent1"/>
        <w:spacing w:before="240" w:after="240"/>
        <w:ind w:left="0" w:firstLine="0"/>
        <w:rPr>
          <w:rFonts w:ascii="Arial" w:hAnsi="Arial" w:cs="Arial"/>
          <w:sz w:val="22"/>
        </w:rPr>
      </w:pPr>
      <w:r w:rsidRPr="007F16A3">
        <w:rPr>
          <w:rFonts w:ascii="Arial" w:hAnsi="Arial" w:cs="Arial"/>
          <w:sz w:val="22"/>
        </w:rPr>
        <w:t xml:space="preserve">On the basis of the evidence provided by the local authority the conclusions reached </w:t>
      </w:r>
      <w:r w:rsidR="00F00259" w:rsidRPr="007F16A3">
        <w:rPr>
          <w:rFonts w:ascii="Arial" w:hAnsi="Arial" w:cs="Arial"/>
          <w:sz w:val="22"/>
        </w:rPr>
        <w:t xml:space="preserve">in the report </w:t>
      </w:r>
      <w:r w:rsidRPr="007F16A3">
        <w:rPr>
          <w:rFonts w:ascii="Arial" w:hAnsi="Arial" w:cs="Arial"/>
          <w:sz w:val="22"/>
        </w:rPr>
        <w:t xml:space="preserve">are </w:t>
      </w:r>
      <w:r w:rsidRPr="007F16A3">
        <w:rPr>
          <w:rFonts w:ascii="Arial" w:hAnsi="Arial" w:cs="Arial"/>
          <w:b/>
          <w:bCs/>
          <w:sz w:val="22"/>
        </w:rPr>
        <w:t>accept</w:t>
      </w:r>
      <w:r w:rsidR="008963C8" w:rsidRPr="007F16A3">
        <w:rPr>
          <w:rFonts w:ascii="Arial" w:hAnsi="Arial" w:cs="Arial"/>
          <w:b/>
          <w:bCs/>
          <w:sz w:val="22"/>
        </w:rPr>
        <w:t>ed</w:t>
      </w:r>
      <w:r w:rsidR="007E1210" w:rsidRPr="007F16A3">
        <w:rPr>
          <w:rFonts w:ascii="Arial" w:hAnsi="Arial" w:cs="Arial"/>
          <w:sz w:val="22"/>
        </w:rPr>
        <w:t xml:space="preserve"> f</w:t>
      </w:r>
      <w:r w:rsidRPr="007F16A3">
        <w:rPr>
          <w:rFonts w:ascii="Arial" w:hAnsi="Arial" w:cs="Arial"/>
          <w:sz w:val="22"/>
        </w:rPr>
        <w:t>or all sources and pollutant</w:t>
      </w:r>
      <w:r w:rsidR="00F00259" w:rsidRPr="007F16A3">
        <w:rPr>
          <w:rFonts w:ascii="Arial" w:hAnsi="Arial" w:cs="Arial"/>
          <w:sz w:val="22"/>
        </w:rPr>
        <w:t>s, on the proviso that the grammatical and formatting errors in the report are corrected prior to publication on the council’s website. ASRs are public facing documents that serve to keep local communities informed of the steps being taken by their local authority to improve air quality, and as such it is important that they are accessible and easy to read</w:t>
      </w:r>
      <w:r w:rsidR="007F16A3">
        <w:rPr>
          <w:rFonts w:ascii="Arial" w:hAnsi="Arial" w:cs="Arial"/>
          <w:sz w:val="22"/>
        </w:rPr>
        <w:t>.</w:t>
      </w:r>
      <w:r w:rsidR="00F00259" w:rsidRPr="007F16A3">
        <w:rPr>
          <w:rFonts w:ascii="Arial" w:hAnsi="Arial" w:cs="Arial"/>
          <w:b/>
          <w:bCs/>
          <w:sz w:val="22"/>
        </w:rPr>
        <w:t xml:space="preserve"> </w:t>
      </w:r>
      <w:r w:rsidRPr="007F16A3">
        <w:rPr>
          <w:rFonts w:ascii="Arial" w:hAnsi="Arial" w:cs="Arial"/>
          <w:sz w:val="22"/>
        </w:rPr>
        <w:t xml:space="preserve">Following the completion of this report, </w:t>
      </w:r>
      <w:r w:rsidR="007F16A3" w:rsidRPr="007F16A3">
        <w:rPr>
          <w:rFonts w:ascii="Arial" w:hAnsi="Arial" w:cs="Arial"/>
          <w:sz w:val="22"/>
        </w:rPr>
        <w:t>Cheltenham Borough</w:t>
      </w:r>
      <w:r w:rsidR="00633A3E" w:rsidRPr="007F16A3">
        <w:rPr>
          <w:rFonts w:ascii="Arial" w:hAnsi="Arial" w:cs="Arial"/>
          <w:sz w:val="22"/>
        </w:rPr>
        <w:t xml:space="preserve"> Council</w:t>
      </w:r>
      <w:r w:rsidR="0041182F" w:rsidRPr="007F16A3">
        <w:rPr>
          <w:rFonts w:ascii="Arial" w:hAnsi="Arial" w:cs="Arial"/>
          <w:sz w:val="22"/>
        </w:rPr>
        <w:t xml:space="preserve"> </w:t>
      </w:r>
      <w:r w:rsidRPr="007F16A3">
        <w:rPr>
          <w:rFonts w:ascii="Arial" w:hAnsi="Arial" w:cs="Arial"/>
          <w:sz w:val="22"/>
        </w:rPr>
        <w:t xml:space="preserve">should </w:t>
      </w:r>
      <w:r w:rsidR="000A29C3">
        <w:rPr>
          <w:rFonts w:ascii="Arial" w:hAnsi="Arial" w:cs="Arial"/>
          <w:sz w:val="22"/>
        </w:rPr>
        <w:t xml:space="preserve">continue with the revocation, publish the AQS once completed, and then </w:t>
      </w:r>
      <w:r w:rsidRPr="007F16A3">
        <w:rPr>
          <w:rFonts w:ascii="Arial" w:hAnsi="Arial" w:cs="Arial"/>
          <w:sz w:val="22"/>
        </w:rPr>
        <w:t xml:space="preserve">submit an Annual </w:t>
      </w:r>
      <w:r w:rsidR="00633A3E" w:rsidRPr="007F16A3">
        <w:rPr>
          <w:rFonts w:ascii="Arial" w:hAnsi="Arial" w:cs="Arial"/>
          <w:sz w:val="22"/>
        </w:rPr>
        <w:t>Status</w:t>
      </w:r>
      <w:r w:rsidRPr="007F16A3">
        <w:rPr>
          <w:rFonts w:ascii="Arial" w:hAnsi="Arial" w:cs="Arial"/>
          <w:sz w:val="22"/>
        </w:rPr>
        <w:t xml:space="preserve"> Report in 20</w:t>
      </w:r>
      <w:r w:rsidR="007F16A3" w:rsidRPr="007F16A3">
        <w:rPr>
          <w:rFonts w:ascii="Arial" w:hAnsi="Arial" w:cs="Arial"/>
          <w:sz w:val="22"/>
        </w:rPr>
        <w:t>2</w:t>
      </w:r>
      <w:r w:rsidR="0093595A">
        <w:rPr>
          <w:rFonts w:ascii="Arial" w:hAnsi="Arial" w:cs="Arial"/>
          <w:sz w:val="22"/>
        </w:rPr>
        <w:t>6</w:t>
      </w:r>
      <w:r w:rsidRPr="007F16A3">
        <w:rPr>
          <w:rFonts w:ascii="Arial" w:hAnsi="Arial" w:cs="Arial"/>
          <w:sz w:val="22"/>
        </w:rPr>
        <w:t>.</w:t>
      </w:r>
    </w:p>
    <w:p w14:paraId="72C24E15" w14:textId="77777777" w:rsidR="0019438E" w:rsidRDefault="0019438E" w:rsidP="0095259E">
      <w:pPr>
        <w:spacing w:after="240"/>
        <w:rPr>
          <w:rFonts w:ascii="Arial" w:hAnsi="Arial" w:cs="Arial"/>
          <w:b/>
          <w:sz w:val="28"/>
        </w:rPr>
      </w:pPr>
      <w:r>
        <w:rPr>
          <w:rFonts w:ascii="Arial" w:hAnsi="Arial" w:cs="Arial"/>
          <w:b/>
          <w:sz w:val="28"/>
        </w:rPr>
        <w:br w:type="page"/>
      </w:r>
    </w:p>
    <w:p w14:paraId="73193D7B" w14:textId="656F1D42" w:rsidR="007B0CD6" w:rsidRPr="00E87BAB" w:rsidRDefault="00FC1CFC">
      <w:pPr>
        <w:pStyle w:val="Indent2"/>
        <w:ind w:left="0" w:right="509" w:firstLine="0"/>
        <w:rPr>
          <w:rFonts w:ascii="Arial" w:hAnsi="Arial" w:cs="Arial"/>
        </w:rPr>
      </w:pPr>
      <w:r w:rsidRPr="00E87BAB">
        <w:rPr>
          <w:rFonts w:ascii="Arial" w:hAnsi="Arial" w:cs="Arial"/>
          <w:b/>
          <w:sz w:val="28"/>
        </w:rPr>
        <w:lastRenderedPageBreak/>
        <w:t>Commentary</w:t>
      </w:r>
    </w:p>
    <w:p w14:paraId="2A5899D6" w14:textId="31D04866" w:rsidR="00985AEF" w:rsidRPr="00C53BA3" w:rsidRDefault="007B0CD6">
      <w:pPr>
        <w:pStyle w:val="TRLBodyText"/>
        <w:spacing w:line="360" w:lineRule="auto"/>
        <w:rPr>
          <w:rFonts w:ascii="Arial" w:hAnsi="Arial" w:cs="Arial"/>
          <w:sz w:val="22"/>
          <w:szCs w:val="22"/>
        </w:rPr>
      </w:pPr>
      <w:r w:rsidRPr="00C53BA3">
        <w:rPr>
          <w:rFonts w:ascii="Arial" w:hAnsi="Arial" w:cs="Arial"/>
          <w:sz w:val="22"/>
          <w:szCs w:val="22"/>
        </w:rPr>
        <w:t xml:space="preserve">The report is well structured, detailed, and provides the information specified in the Guidance. </w:t>
      </w:r>
      <w:r w:rsidR="00985AEF" w:rsidRPr="00C53BA3">
        <w:rPr>
          <w:rFonts w:ascii="Arial" w:hAnsi="Arial" w:cs="Arial"/>
          <w:sz w:val="22"/>
          <w:szCs w:val="22"/>
        </w:rPr>
        <w:t>The following comments are designed to help inform future reports</w:t>
      </w:r>
      <w:r w:rsidR="00B0770F" w:rsidRPr="00C53BA3">
        <w:rPr>
          <w:rFonts w:ascii="Arial" w:hAnsi="Arial" w:cs="Arial"/>
          <w:sz w:val="22"/>
          <w:szCs w:val="22"/>
        </w:rPr>
        <w:t>:</w:t>
      </w:r>
    </w:p>
    <w:p w14:paraId="2E30F71D" w14:textId="7D77F7B4" w:rsidR="00AC2CDF" w:rsidRDefault="00E81377" w:rsidP="00AC2CDF">
      <w:pPr>
        <w:pStyle w:val="TRLBodyText"/>
        <w:numPr>
          <w:ilvl w:val="0"/>
          <w:numId w:val="29"/>
        </w:numPr>
        <w:spacing w:line="360" w:lineRule="auto"/>
        <w:rPr>
          <w:rFonts w:ascii="Arial" w:hAnsi="Arial" w:cs="Arial"/>
          <w:sz w:val="22"/>
          <w:szCs w:val="22"/>
        </w:rPr>
      </w:pPr>
      <w:r>
        <w:rPr>
          <w:rFonts w:ascii="Arial" w:hAnsi="Arial" w:cs="Arial"/>
          <w:sz w:val="22"/>
          <w:szCs w:val="22"/>
        </w:rPr>
        <w:t>The Council have considered the comments made during the previous appraisal. This is commended and the Council are encouraged to continue this approach for</w:t>
      </w:r>
      <w:r w:rsidR="00FA5777">
        <w:rPr>
          <w:rFonts w:ascii="Arial" w:hAnsi="Arial" w:cs="Arial"/>
          <w:sz w:val="22"/>
          <w:szCs w:val="22"/>
        </w:rPr>
        <w:t xml:space="preserve"> future ASRs.</w:t>
      </w:r>
    </w:p>
    <w:p w14:paraId="451C9DB0" w14:textId="3544A4D9" w:rsidR="00FA5777" w:rsidRDefault="00FA5777" w:rsidP="00AC2CDF">
      <w:pPr>
        <w:pStyle w:val="TRLBodyText"/>
        <w:numPr>
          <w:ilvl w:val="0"/>
          <w:numId w:val="29"/>
        </w:numPr>
        <w:spacing w:line="360" w:lineRule="auto"/>
        <w:rPr>
          <w:rFonts w:ascii="Arial" w:hAnsi="Arial" w:cs="Arial"/>
          <w:sz w:val="22"/>
          <w:szCs w:val="22"/>
        </w:rPr>
      </w:pPr>
      <w:bookmarkStart w:id="2" w:name="_Hlk204359461"/>
      <w:r>
        <w:rPr>
          <w:rFonts w:ascii="Arial" w:hAnsi="Arial" w:cs="Arial"/>
          <w:sz w:val="22"/>
          <w:szCs w:val="22"/>
        </w:rPr>
        <w:t xml:space="preserve">The Council have continued to provide clear evidence of several key actions to improve air quality which have been completed during the current reporting year. </w:t>
      </w:r>
      <w:r w:rsidR="00D81D20">
        <w:rPr>
          <w:rFonts w:ascii="Arial" w:hAnsi="Arial" w:cs="Arial"/>
          <w:sz w:val="22"/>
          <w:szCs w:val="22"/>
        </w:rPr>
        <w:t xml:space="preserve">In addition, the Council have clearly listed their priorities for the coming year. </w:t>
      </w:r>
      <w:r w:rsidR="00704731">
        <w:rPr>
          <w:rFonts w:ascii="Arial" w:hAnsi="Arial" w:cs="Arial"/>
          <w:sz w:val="22"/>
          <w:szCs w:val="22"/>
        </w:rPr>
        <w:t xml:space="preserve">This is commended and indicative of good practice. </w:t>
      </w:r>
    </w:p>
    <w:p w14:paraId="694921BA" w14:textId="19299DA3" w:rsidR="00EE03C9" w:rsidRDefault="00FC7628" w:rsidP="004C2B94">
      <w:pPr>
        <w:pStyle w:val="TRLBodyText"/>
        <w:numPr>
          <w:ilvl w:val="0"/>
          <w:numId w:val="29"/>
        </w:numPr>
        <w:spacing w:line="360" w:lineRule="auto"/>
        <w:ind w:hanging="573"/>
        <w:rPr>
          <w:rFonts w:ascii="Arial" w:hAnsi="Arial" w:cs="Arial"/>
          <w:sz w:val="22"/>
          <w:szCs w:val="22"/>
        </w:rPr>
      </w:pPr>
      <w:r w:rsidRPr="00EE03C9">
        <w:rPr>
          <w:rFonts w:ascii="Arial" w:hAnsi="Arial" w:cs="Arial"/>
          <w:sz w:val="22"/>
          <w:szCs w:val="22"/>
        </w:rPr>
        <w:t>During 2024, the NO</w:t>
      </w:r>
      <w:r w:rsidRPr="00EE03C9">
        <w:rPr>
          <w:rFonts w:ascii="Arial" w:hAnsi="Arial" w:cs="Arial"/>
          <w:sz w:val="22"/>
          <w:szCs w:val="22"/>
          <w:vertAlign w:val="subscript"/>
        </w:rPr>
        <w:t>2</w:t>
      </w:r>
      <w:r w:rsidRPr="00EE03C9">
        <w:rPr>
          <w:rFonts w:ascii="Arial" w:hAnsi="Arial" w:cs="Arial"/>
          <w:sz w:val="22"/>
          <w:szCs w:val="22"/>
        </w:rPr>
        <w:t xml:space="preserve"> annul mean objective was not exceeded at any monitoring location both within and outside of the AQMA boundary. </w:t>
      </w:r>
      <w:bookmarkStart w:id="3" w:name="_Hlk204359399"/>
      <w:bookmarkEnd w:id="2"/>
      <w:r w:rsidR="00EE03C9" w:rsidRPr="00EE03C9">
        <w:rPr>
          <w:rFonts w:ascii="Arial" w:hAnsi="Arial" w:cs="Arial"/>
          <w:sz w:val="22"/>
          <w:szCs w:val="22"/>
        </w:rPr>
        <w:t>C</w:t>
      </w:r>
      <w:r w:rsidR="00EE03C9">
        <w:rPr>
          <w:rFonts w:ascii="Arial" w:hAnsi="Arial" w:cs="Arial"/>
          <w:sz w:val="22"/>
          <w:szCs w:val="22"/>
        </w:rPr>
        <w:t>BC are curr</w:t>
      </w:r>
      <w:r w:rsidR="00EE03C9" w:rsidRPr="00EE03C9">
        <w:rPr>
          <w:rFonts w:ascii="Arial" w:hAnsi="Arial" w:cs="Arial"/>
          <w:sz w:val="22"/>
          <w:szCs w:val="22"/>
        </w:rPr>
        <w:t>ently in the process of revoking the AQMA, due to compliance with the Air Quality Objective over the last five years (2020 – 2024)</w:t>
      </w:r>
      <w:r w:rsidR="000F0D64">
        <w:rPr>
          <w:rFonts w:ascii="Arial" w:hAnsi="Arial" w:cs="Arial"/>
          <w:sz w:val="22"/>
          <w:szCs w:val="22"/>
        </w:rPr>
        <w:t>, a position supported by Defra</w:t>
      </w:r>
      <w:r w:rsidR="00EE03C9" w:rsidRPr="00EE03C9">
        <w:rPr>
          <w:rFonts w:ascii="Arial" w:hAnsi="Arial" w:cs="Arial"/>
          <w:sz w:val="22"/>
          <w:szCs w:val="22"/>
        </w:rPr>
        <w:t>. However, as the AQMA was still effective during the monitoring period that this report relates to (2024), reference to the AQMA has still been included throughout. The Cheltenham Borough Council AQMA will no longer be acknowledged in the new updated version of this report in 2026.</w:t>
      </w:r>
    </w:p>
    <w:p w14:paraId="3ED197CE" w14:textId="0DA40B10" w:rsidR="00A54D2B" w:rsidRPr="00EE03C9" w:rsidRDefault="00A54D2B" w:rsidP="004C2B94">
      <w:pPr>
        <w:pStyle w:val="TRLBodyText"/>
        <w:numPr>
          <w:ilvl w:val="0"/>
          <w:numId w:val="29"/>
        </w:numPr>
        <w:spacing w:line="360" w:lineRule="auto"/>
        <w:ind w:hanging="573"/>
        <w:rPr>
          <w:rFonts w:ascii="Arial" w:hAnsi="Arial" w:cs="Arial"/>
          <w:sz w:val="22"/>
          <w:szCs w:val="22"/>
        </w:rPr>
      </w:pPr>
      <w:r w:rsidRPr="00EE03C9">
        <w:rPr>
          <w:rFonts w:ascii="Arial" w:hAnsi="Arial" w:cs="Arial"/>
          <w:sz w:val="22"/>
          <w:szCs w:val="22"/>
        </w:rPr>
        <w:t xml:space="preserve">The Council have provided excellent mapping of all monitoring locations within the Borough and included AQMA boundaries, which is commended. </w:t>
      </w:r>
    </w:p>
    <w:p w14:paraId="7FD93AF5" w14:textId="5D9EF96A" w:rsidR="000752DD" w:rsidRDefault="000752DD" w:rsidP="000752DD">
      <w:pPr>
        <w:pStyle w:val="TRLBodyText"/>
        <w:numPr>
          <w:ilvl w:val="0"/>
          <w:numId w:val="29"/>
        </w:numPr>
        <w:spacing w:line="360" w:lineRule="auto"/>
        <w:ind w:hanging="573"/>
        <w:rPr>
          <w:rFonts w:ascii="Arial" w:hAnsi="Arial" w:cs="Arial"/>
          <w:sz w:val="22"/>
          <w:szCs w:val="22"/>
        </w:rPr>
      </w:pPr>
      <w:r>
        <w:rPr>
          <w:rFonts w:ascii="Arial" w:hAnsi="Arial" w:cs="Arial"/>
          <w:sz w:val="22"/>
          <w:szCs w:val="22"/>
        </w:rPr>
        <w:t>Extensive trend graphs and analysis have been provided for all monitoring data, which is welcomed.</w:t>
      </w:r>
    </w:p>
    <w:p w14:paraId="3246532E" w14:textId="335B528B" w:rsidR="00FC7628" w:rsidRPr="00065008" w:rsidRDefault="00FC7628" w:rsidP="00065008">
      <w:pPr>
        <w:pStyle w:val="TRLBodyText"/>
        <w:numPr>
          <w:ilvl w:val="0"/>
          <w:numId w:val="29"/>
        </w:numPr>
        <w:spacing w:line="360" w:lineRule="auto"/>
        <w:ind w:hanging="573"/>
        <w:rPr>
          <w:rFonts w:ascii="Arial" w:hAnsi="Arial" w:cs="Arial"/>
          <w:sz w:val="22"/>
          <w:szCs w:val="22"/>
        </w:rPr>
      </w:pPr>
      <w:r w:rsidRPr="00065008">
        <w:rPr>
          <w:rFonts w:ascii="Arial" w:hAnsi="Arial" w:cs="Arial"/>
          <w:sz w:val="22"/>
          <w:szCs w:val="22"/>
        </w:rPr>
        <w:t xml:space="preserve">QA/QC procedures are appropriate, with evidence provided. </w:t>
      </w:r>
      <w:r w:rsidRPr="000F0D64">
        <w:rPr>
          <w:rFonts w:ascii="Arial" w:hAnsi="Arial" w:cs="Arial"/>
          <w:sz w:val="22"/>
          <w:szCs w:val="22"/>
        </w:rPr>
        <w:t xml:space="preserve">The </w:t>
      </w:r>
      <w:r w:rsidR="00627D81">
        <w:rPr>
          <w:rFonts w:ascii="Arial" w:hAnsi="Arial" w:cs="Arial"/>
          <w:sz w:val="22"/>
          <w:szCs w:val="22"/>
        </w:rPr>
        <w:t>C</w:t>
      </w:r>
      <w:r w:rsidRPr="000F0D64">
        <w:rPr>
          <w:rFonts w:ascii="Arial" w:hAnsi="Arial" w:cs="Arial"/>
          <w:sz w:val="22"/>
          <w:szCs w:val="22"/>
        </w:rPr>
        <w:t xml:space="preserve">ouncil </w:t>
      </w:r>
      <w:r w:rsidR="00627D81">
        <w:rPr>
          <w:rFonts w:ascii="Arial" w:hAnsi="Arial" w:cs="Arial"/>
          <w:sz w:val="22"/>
          <w:szCs w:val="22"/>
        </w:rPr>
        <w:t>could provide details of the national bias adjustment factor by means of comparison, to ensure the most appropriate factor has been applied to the data.</w:t>
      </w:r>
    </w:p>
    <w:p w14:paraId="3937B55F" w14:textId="517A77F6" w:rsidR="00FC7628" w:rsidRPr="000F0D64" w:rsidRDefault="00FC7628" w:rsidP="00065008">
      <w:pPr>
        <w:pStyle w:val="TRLBodyText"/>
        <w:numPr>
          <w:ilvl w:val="0"/>
          <w:numId w:val="29"/>
        </w:numPr>
        <w:spacing w:line="360" w:lineRule="auto"/>
        <w:ind w:hanging="573"/>
      </w:pPr>
      <w:r w:rsidRPr="000F0D64">
        <w:rPr>
          <w:rFonts w:ascii="Arial" w:hAnsi="Arial" w:cs="Arial"/>
          <w:sz w:val="22"/>
          <w:szCs w:val="22"/>
        </w:rPr>
        <w:t>There are currently several Smoke Control Areas (SCAs) declared within CBC. However, a cabinet review of the existing SCAs within the borough is scheduled for late 2025. An update on the outcome of this review will be provided in the next update of this report in 2026.</w:t>
      </w:r>
    </w:p>
    <w:p w14:paraId="18F80791" w14:textId="6258ED8F" w:rsidR="00FC7628" w:rsidRPr="000F0D64" w:rsidRDefault="00EE03C9" w:rsidP="00065008">
      <w:pPr>
        <w:pStyle w:val="TRLBodyText"/>
        <w:numPr>
          <w:ilvl w:val="0"/>
          <w:numId w:val="29"/>
        </w:numPr>
        <w:spacing w:line="360" w:lineRule="auto"/>
        <w:ind w:hanging="573"/>
      </w:pPr>
      <w:r w:rsidRPr="000F0D64">
        <w:rPr>
          <w:rFonts w:ascii="Arial" w:hAnsi="Arial" w:cs="Arial"/>
          <w:sz w:val="22"/>
          <w:szCs w:val="22"/>
        </w:rPr>
        <w:t>It would be preferable to name the director of public health the report has been signed off by.</w:t>
      </w:r>
    </w:p>
    <w:bookmarkEnd w:id="3"/>
    <w:p w14:paraId="7D470AF3" w14:textId="47D4E7DF" w:rsidR="007B0CD6" w:rsidRPr="00065008" w:rsidRDefault="008E5F41" w:rsidP="00065008">
      <w:pPr>
        <w:pStyle w:val="TRLBodyText"/>
        <w:numPr>
          <w:ilvl w:val="0"/>
          <w:numId w:val="29"/>
        </w:numPr>
        <w:spacing w:line="360" w:lineRule="auto"/>
        <w:ind w:hanging="573"/>
        <w:rPr>
          <w:rFonts w:ascii="Arial" w:hAnsi="Arial" w:cs="Arial"/>
          <w:sz w:val="22"/>
        </w:rPr>
      </w:pPr>
      <w:r>
        <w:rPr>
          <w:rFonts w:ascii="Arial" w:hAnsi="Arial" w:cs="Arial"/>
          <w:sz w:val="22"/>
          <w:szCs w:val="22"/>
        </w:rPr>
        <w:lastRenderedPageBreak/>
        <w:t>Overall, the report is well structured, detailed and satisfies the criteria of the relevant standards.</w:t>
      </w:r>
    </w:p>
    <w:p w14:paraId="297C00A5" w14:textId="3F4833C0" w:rsidR="0052132E" w:rsidRPr="00C25350" w:rsidRDefault="0052132E">
      <w:pPr>
        <w:pStyle w:val="Indent1"/>
        <w:spacing w:line="240" w:lineRule="auto"/>
        <w:ind w:left="0" w:right="509" w:firstLine="0"/>
        <w:rPr>
          <w:rFonts w:ascii="Arial" w:hAnsi="Arial" w:cs="Arial"/>
          <w:sz w:val="18"/>
          <w:szCs w:val="18"/>
        </w:rPr>
      </w:pPr>
      <w:r w:rsidRPr="002C2904">
        <w:rPr>
          <w:rFonts w:ascii="Arial" w:hAnsi="Arial" w:cs="Arial"/>
          <w:sz w:val="18"/>
          <w:szCs w:val="18"/>
        </w:rPr>
        <w:t xml:space="preserve">This commentary is not designed to </w:t>
      </w:r>
      <w:r w:rsidRPr="00C25350">
        <w:rPr>
          <w:rFonts w:ascii="Arial" w:hAnsi="Arial" w:cs="Arial"/>
          <w:sz w:val="18"/>
          <w:szCs w:val="18"/>
        </w:rPr>
        <w:t xml:space="preserve">deal with every aspect of the report.  It highlights a number of issues that should help the local authority either in completing the </w:t>
      </w:r>
      <w:r w:rsidR="004A7E5D" w:rsidRPr="00C25350">
        <w:rPr>
          <w:rFonts w:ascii="Arial" w:hAnsi="Arial" w:cs="Arial"/>
          <w:sz w:val="18"/>
          <w:szCs w:val="18"/>
        </w:rPr>
        <w:t>Annual Status</w:t>
      </w:r>
      <w:r w:rsidRPr="00C25350">
        <w:rPr>
          <w:rFonts w:ascii="Arial" w:hAnsi="Arial" w:cs="Arial"/>
          <w:sz w:val="18"/>
          <w:szCs w:val="18"/>
        </w:rPr>
        <w:t xml:space="preserve"> Report adequately (if required) or in carrying out future Review &amp; Assessment work.</w:t>
      </w:r>
    </w:p>
    <w:p w14:paraId="153170DE" w14:textId="77777777" w:rsidR="0052132E" w:rsidRPr="00C25350" w:rsidRDefault="0052132E">
      <w:pPr>
        <w:pStyle w:val="Indent1"/>
        <w:spacing w:line="240" w:lineRule="auto"/>
        <w:ind w:left="567" w:right="509" w:firstLine="0"/>
        <w:rPr>
          <w:rFonts w:ascii="Arial" w:hAnsi="Arial" w:cs="Arial"/>
          <w:sz w:val="18"/>
          <w:szCs w:val="18"/>
        </w:rPr>
      </w:pPr>
    </w:p>
    <w:p w14:paraId="24C3AD99" w14:textId="09AFCADA" w:rsidR="0052132E" w:rsidRPr="002C2904" w:rsidRDefault="0052132E">
      <w:pPr>
        <w:pStyle w:val="Indent1"/>
        <w:spacing w:line="240" w:lineRule="auto"/>
        <w:ind w:left="0" w:right="509" w:firstLine="0"/>
        <w:rPr>
          <w:rFonts w:ascii="Arial" w:hAnsi="Arial" w:cs="Arial"/>
          <w:b/>
          <w:sz w:val="18"/>
          <w:szCs w:val="18"/>
        </w:rPr>
      </w:pPr>
      <w:r w:rsidRPr="00C25350">
        <w:rPr>
          <w:rFonts w:ascii="Arial" w:hAnsi="Arial" w:cs="Arial"/>
          <w:b/>
          <w:sz w:val="18"/>
          <w:szCs w:val="18"/>
        </w:rPr>
        <w:t xml:space="preserve">Issues specifically related to this appraisal can be followed up </w:t>
      </w:r>
      <w:r w:rsidRPr="002C2904">
        <w:rPr>
          <w:rFonts w:ascii="Arial" w:hAnsi="Arial" w:cs="Arial"/>
          <w:b/>
          <w:sz w:val="18"/>
          <w:szCs w:val="18"/>
        </w:rPr>
        <w:t>by returning the attached comment form to Defra, Welsh Government, Scottish Government or DOE.</w:t>
      </w:r>
    </w:p>
    <w:p w14:paraId="01E77BDC" w14:textId="77777777" w:rsidR="0052132E" w:rsidRPr="002C2904" w:rsidRDefault="0052132E">
      <w:pPr>
        <w:pStyle w:val="Indent1"/>
        <w:spacing w:line="240" w:lineRule="auto"/>
        <w:ind w:left="567" w:right="509" w:firstLine="0"/>
        <w:rPr>
          <w:rFonts w:ascii="Arial" w:hAnsi="Arial" w:cs="Arial"/>
          <w:sz w:val="18"/>
          <w:szCs w:val="18"/>
        </w:rPr>
      </w:pPr>
    </w:p>
    <w:p w14:paraId="28876005" w14:textId="77777777" w:rsidR="0052132E" w:rsidRPr="002C2904" w:rsidRDefault="0052132E">
      <w:pPr>
        <w:pStyle w:val="Indent1"/>
        <w:spacing w:line="240" w:lineRule="auto"/>
        <w:ind w:left="0" w:right="509" w:firstLine="0"/>
        <w:rPr>
          <w:rFonts w:ascii="Arial" w:hAnsi="Arial" w:cs="Arial"/>
          <w:sz w:val="18"/>
          <w:szCs w:val="18"/>
        </w:rPr>
      </w:pPr>
      <w:r w:rsidRPr="002C2904">
        <w:rPr>
          <w:rFonts w:ascii="Arial" w:hAnsi="Arial" w:cs="Arial"/>
          <w:sz w:val="18"/>
          <w:szCs w:val="18"/>
        </w:rPr>
        <w:t>For any other queries please contact the Local Air Quality Management Helpdesk:</w:t>
      </w:r>
    </w:p>
    <w:p w14:paraId="6C7B6307" w14:textId="77777777" w:rsidR="0052132E" w:rsidRPr="002C2904" w:rsidRDefault="0052132E">
      <w:pPr>
        <w:pStyle w:val="Indent1"/>
        <w:spacing w:line="240" w:lineRule="auto"/>
        <w:ind w:right="509"/>
        <w:rPr>
          <w:rFonts w:ascii="Arial" w:hAnsi="Arial" w:cs="Arial"/>
          <w:sz w:val="18"/>
          <w:szCs w:val="18"/>
          <w:lang w:val="en-US"/>
        </w:rPr>
      </w:pPr>
      <w:r w:rsidRPr="002C2904">
        <w:rPr>
          <w:rFonts w:ascii="Arial" w:hAnsi="Arial" w:cs="Arial"/>
          <w:sz w:val="18"/>
          <w:szCs w:val="18"/>
          <w:lang w:val="en-US"/>
        </w:rPr>
        <w:t>Telephone:</w:t>
      </w:r>
      <w:r w:rsidRPr="002C2904">
        <w:rPr>
          <w:rFonts w:ascii="Arial" w:hAnsi="Arial" w:cs="Arial"/>
          <w:sz w:val="18"/>
          <w:szCs w:val="18"/>
          <w:lang w:val="en-US"/>
        </w:rPr>
        <w:tab/>
        <w:t>0800 0327 953</w:t>
      </w:r>
    </w:p>
    <w:p w14:paraId="5492F1C3" w14:textId="04D8BBF8" w:rsidR="0052132E" w:rsidRPr="002C2904" w:rsidRDefault="0052132E">
      <w:pPr>
        <w:pStyle w:val="Indent1"/>
        <w:spacing w:line="240" w:lineRule="auto"/>
        <w:ind w:right="509"/>
        <w:rPr>
          <w:rFonts w:ascii="Arial" w:hAnsi="Arial" w:cs="Arial"/>
          <w:sz w:val="18"/>
          <w:szCs w:val="18"/>
          <w:lang w:val="en-US"/>
        </w:rPr>
      </w:pPr>
      <w:r w:rsidRPr="002C2904">
        <w:rPr>
          <w:rFonts w:ascii="Arial" w:hAnsi="Arial" w:cs="Arial"/>
          <w:sz w:val="18"/>
          <w:szCs w:val="18"/>
          <w:lang w:val="en-US"/>
        </w:rPr>
        <w:t>Email:</w:t>
      </w:r>
      <w:r w:rsidRPr="002C2904">
        <w:rPr>
          <w:rFonts w:ascii="Arial" w:hAnsi="Arial" w:cs="Arial"/>
          <w:sz w:val="18"/>
          <w:szCs w:val="18"/>
          <w:lang w:val="en-US"/>
        </w:rPr>
        <w:tab/>
      </w:r>
      <w:r w:rsidRPr="002C2904">
        <w:rPr>
          <w:rFonts w:ascii="Arial" w:hAnsi="Arial" w:cs="Arial"/>
          <w:sz w:val="18"/>
          <w:szCs w:val="18"/>
          <w:lang w:val="en-US"/>
        </w:rPr>
        <w:tab/>
        <w:t>LAQMHelpdesk@bureauveritas.com</w:t>
      </w:r>
    </w:p>
    <w:p w14:paraId="499677B9" w14:textId="77777777" w:rsidR="004471EF" w:rsidRDefault="004471EF">
      <w:pPr>
        <w:rPr>
          <w:rFonts w:ascii="Arial" w:hAnsi="Arial" w:cs="Arial"/>
          <w:lang w:val="en-US"/>
        </w:rPr>
      </w:pPr>
    </w:p>
    <w:p w14:paraId="26E9D086" w14:textId="77777777" w:rsidR="004471EF" w:rsidRDefault="004471EF">
      <w:pPr>
        <w:rPr>
          <w:rFonts w:ascii="Arial" w:hAnsi="Arial" w:cs="Arial"/>
          <w:lang w:val="en-US"/>
        </w:rPr>
      </w:pPr>
    </w:p>
    <w:p w14:paraId="5C2370DC" w14:textId="77777777" w:rsidR="004471EF" w:rsidRPr="004471EF" w:rsidRDefault="004471EF" w:rsidP="004471EF">
      <w:pPr>
        <w:rPr>
          <w:rStyle w:val="eop"/>
          <w:rFonts w:eastAsiaTheme="minorHAnsi"/>
          <w:color w:val="000000"/>
        </w:rPr>
      </w:pPr>
      <w:r w:rsidRPr="004471EF">
        <w:rPr>
          <w:rStyle w:val="normaltextrun"/>
          <w:rFonts w:ascii="Arial" w:eastAsiaTheme="minorHAnsi" w:hAnsi="Arial" w:cs="Arial"/>
          <w:color w:val="000000"/>
          <w:sz w:val="22"/>
          <w:szCs w:val="22"/>
          <w:shd w:val="clear" w:color="auto" w:fill="FFFFFF"/>
          <w:lang w:eastAsia="en-US"/>
          <w14:ligatures w14:val="standardContextual"/>
        </w:rPr>
        <w:t xml:space="preserve">The </w:t>
      </w:r>
      <w:hyperlink r:id="rId10" w:tgtFrame="_blank" w:history="1">
        <w:r w:rsidRPr="004471EF">
          <w:rPr>
            <w:rStyle w:val="normaltextrun"/>
            <w:rFonts w:ascii="Arial" w:eastAsiaTheme="minorHAnsi" w:hAnsi="Arial" w:cs="Arial"/>
            <w:color w:val="0000FF"/>
            <w:sz w:val="22"/>
            <w:szCs w:val="22"/>
            <w:u w:val="single"/>
            <w:shd w:val="clear" w:color="auto" w:fill="FFFFFF"/>
            <w:lang w:eastAsia="en-US"/>
            <w14:ligatures w14:val="standardContextual"/>
          </w:rPr>
          <w:t>Air Quality Hub</w:t>
        </w:r>
      </w:hyperlink>
      <w:r w:rsidRPr="004471EF">
        <w:rPr>
          <w:rStyle w:val="normaltextrun"/>
          <w:rFonts w:ascii="Arial" w:eastAsiaTheme="minorHAnsi" w:hAnsi="Arial" w:cs="Arial"/>
          <w:color w:val="000000"/>
          <w:sz w:val="22"/>
          <w:szCs w:val="22"/>
          <w:shd w:val="clear" w:color="auto" w:fill="FFFFFF"/>
          <w:lang w:eastAsia="en-US"/>
          <w14:ligatures w14:val="standardContextual"/>
        </w:rPr>
        <w:t xml:space="preserve"> is now run by Defra, it is a free online information and knowledge sharing resource for local authority air quality professionals. Please consider onboarding on the Air Quality Hub to access a multitude of air quality resources and be kept up to date with local authority air quality activity and air quality news.</w:t>
      </w:r>
      <w:r w:rsidRPr="004471EF">
        <w:rPr>
          <w:rStyle w:val="eop"/>
          <w:rFonts w:ascii="Arial" w:eastAsiaTheme="minorHAnsi" w:hAnsi="Arial" w:cs="Arial"/>
          <w:color w:val="000000"/>
          <w:sz w:val="22"/>
          <w:szCs w:val="22"/>
          <w:shd w:val="clear" w:color="auto" w:fill="FFFFFF"/>
          <w:lang w:eastAsia="en-US"/>
          <w14:ligatures w14:val="standardContextual"/>
        </w:rPr>
        <w:t> </w:t>
      </w:r>
    </w:p>
    <w:p w14:paraId="2451A72C" w14:textId="2C7BDD69" w:rsidR="00D10ECF" w:rsidRDefault="00D10ECF">
      <w:pPr>
        <w:rPr>
          <w:rFonts w:ascii="Arial" w:hAnsi="Arial" w:cs="Arial"/>
          <w:sz w:val="24"/>
          <w:lang w:val="en-US"/>
        </w:rPr>
      </w:pPr>
      <w:r>
        <w:rPr>
          <w:rFonts w:ascii="Arial" w:hAnsi="Arial" w:cs="Arial"/>
          <w:lang w:val="en-US"/>
        </w:rPr>
        <w:br w:type="page"/>
      </w:r>
    </w:p>
    <w:p w14:paraId="6B871AF3" w14:textId="043C6E14" w:rsidR="003A7B9E" w:rsidRPr="002C2904" w:rsidRDefault="003A7B9E">
      <w:pPr>
        <w:pStyle w:val="Indent1"/>
        <w:spacing w:line="240" w:lineRule="auto"/>
        <w:ind w:right="509"/>
        <w:rPr>
          <w:rFonts w:ascii="Arial" w:hAnsi="Arial" w:cs="Arial"/>
          <w:lang w:val="en-US"/>
        </w:rPr>
      </w:pPr>
    </w:p>
    <w:p w14:paraId="3921BF8F" w14:textId="77777777" w:rsidR="00001862" w:rsidRPr="002C2904" w:rsidRDefault="00001862" w:rsidP="002009C5">
      <w:pPr>
        <w:pStyle w:val="Mainheading"/>
        <w:ind w:left="0" w:firstLine="0"/>
        <w:jc w:val="both"/>
        <w:rPr>
          <w:rFonts w:ascii="Arial" w:hAnsi="Arial" w:cs="Arial"/>
          <w:sz w:val="36"/>
        </w:rPr>
      </w:pPr>
      <w:r w:rsidRPr="002C2904">
        <w:rPr>
          <w:rFonts w:ascii="Arial" w:hAnsi="Arial" w:cs="Arial"/>
          <w:sz w:val="36"/>
        </w:rPr>
        <w:t>Appraisal Response Comment Form</w:t>
      </w:r>
    </w:p>
    <w:p w14:paraId="5EBE9E59" w14:textId="77777777" w:rsidR="00001862" w:rsidRPr="002C2904" w:rsidRDefault="00001862" w:rsidP="0054419B">
      <w:pPr>
        <w:pStyle w:val="Indent2"/>
        <w:ind w:left="0" w:right="509" w:firstLine="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4697"/>
      </w:tblGrid>
      <w:tr w:rsidR="002C2904" w:rsidRPr="002C2904" w14:paraId="3E565FE3" w14:textId="77777777" w:rsidTr="00574BFC">
        <w:tc>
          <w:tcPr>
            <w:tcW w:w="4649" w:type="dxa"/>
          </w:tcPr>
          <w:p w14:paraId="51CDAE86" w14:textId="77777777" w:rsidR="00001862" w:rsidRPr="002C2904" w:rsidRDefault="00001862">
            <w:pPr>
              <w:pStyle w:val="Indent2"/>
              <w:ind w:left="0" w:firstLine="0"/>
              <w:rPr>
                <w:rFonts w:ascii="Arial" w:hAnsi="Arial" w:cs="Arial"/>
                <w:sz w:val="22"/>
              </w:rPr>
            </w:pPr>
            <w:r w:rsidRPr="002C2904">
              <w:rPr>
                <w:rFonts w:ascii="Arial" w:hAnsi="Arial" w:cs="Arial"/>
                <w:sz w:val="22"/>
              </w:rPr>
              <w:t xml:space="preserve">Contact Name: </w:t>
            </w:r>
          </w:p>
        </w:tc>
        <w:tc>
          <w:tcPr>
            <w:tcW w:w="4757" w:type="dxa"/>
          </w:tcPr>
          <w:p w14:paraId="5AAD1DA0" w14:textId="77777777" w:rsidR="00001862" w:rsidRPr="002C2904" w:rsidRDefault="00001862">
            <w:pPr>
              <w:pStyle w:val="Indent2"/>
              <w:ind w:left="0" w:firstLine="0"/>
              <w:rPr>
                <w:rFonts w:ascii="Arial" w:hAnsi="Arial" w:cs="Arial"/>
                <w:sz w:val="22"/>
              </w:rPr>
            </w:pPr>
          </w:p>
        </w:tc>
      </w:tr>
      <w:tr w:rsidR="002C2904" w:rsidRPr="002C2904" w14:paraId="3AB33C55" w14:textId="77777777" w:rsidTr="00574BFC">
        <w:tc>
          <w:tcPr>
            <w:tcW w:w="4649" w:type="dxa"/>
          </w:tcPr>
          <w:p w14:paraId="12A95C5D" w14:textId="77777777" w:rsidR="00001862" w:rsidRPr="002C2904" w:rsidRDefault="00001862" w:rsidP="0054419B">
            <w:pPr>
              <w:pStyle w:val="Indent2"/>
              <w:ind w:left="0" w:firstLine="0"/>
              <w:rPr>
                <w:rFonts w:ascii="Arial" w:hAnsi="Arial" w:cs="Arial"/>
                <w:sz w:val="22"/>
              </w:rPr>
            </w:pPr>
            <w:r w:rsidRPr="002C2904">
              <w:rPr>
                <w:rFonts w:ascii="Arial" w:hAnsi="Arial" w:cs="Arial"/>
                <w:sz w:val="22"/>
              </w:rPr>
              <w:t>Contact Telephone number:</w:t>
            </w:r>
          </w:p>
        </w:tc>
        <w:tc>
          <w:tcPr>
            <w:tcW w:w="4757" w:type="dxa"/>
          </w:tcPr>
          <w:p w14:paraId="0649078C" w14:textId="77777777" w:rsidR="00001862" w:rsidRPr="002C2904" w:rsidRDefault="00001862">
            <w:pPr>
              <w:pStyle w:val="Indent2"/>
              <w:ind w:left="0" w:firstLine="0"/>
              <w:rPr>
                <w:rFonts w:ascii="Arial" w:hAnsi="Arial" w:cs="Arial"/>
                <w:sz w:val="22"/>
              </w:rPr>
            </w:pPr>
          </w:p>
        </w:tc>
      </w:tr>
      <w:tr w:rsidR="00001862" w:rsidRPr="002C2904" w14:paraId="4E471264" w14:textId="77777777" w:rsidTr="00574BFC">
        <w:tc>
          <w:tcPr>
            <w:tcW w:w="4649" w:type="dxa"/>
          </w:tcPr>
          <w:p w14:paraId="091E64BF" w14:textId="77777777" w:rsidR="00001862" w:rsidRPr="002C2904" w:rsidRDefault="00001862" w:rsidP="0054419B">
            <w:pPr>
              <w:pStyle w:val="Indent2"/>
              <w:ind w:left="0" w:firstLine="0"/>
              <w:rPr>
                <w:rFonts w:ascii="Arial" w:hAnsi="Arial" w:cs="Arial"/>
                <w:sz w:val="22"/>
              </w:rPr>
            </w:pPr>
            <w:r w:rsidRPr="002C2904">
              <w:rPr>
                <w:rFonts w:ascii="Arial" w:hAnsi="Arial" w:cs="Arial"/>
                <w:sz w:val="22"/>
              </w:rPr>
              <w:t>Contact email address:</w:t>
            </w:r>
          </w:p>
        </w:tc>
        <w:tc>
          <w:tcPr>
            <w:tcW w:w="4757" w:type="dxa"/>
          </w:tcPr>
          <w:p w14:paraId="6E0B9B05" w14:textId="61347DC2" w:rsidR="00001862" w:rsidRPr="002C2904" w:rsidRDefault="002009C5">
            <w:pPr>
              <w:pStyle w:val="Indent2"/>
              <w:ind w:left="0" w:firstLine="0"/>
              <w:rPr>
                <w:rFonts w:ascii="Arial" w:hAnsi="Arial" w:cs="Arial"/>
                <w:sz w:val="22"/>
              </w:rPr>
            </w:pPr>
            <w:r w:rsidRPr="00A754CC">
              <w:rPr>
                <w:rFonts w:ascii="Arial" w:hAnsi="Arial" w:cs="Arial"/>
                <w:sz w:val="22"/>
              </w:rPr>
              <w:t>UKLAQMAppraisals@aecom.com</w:t>
            </w:r>
          </w:p>
        </w:tc>
      </w:tr>
    </w:tbl>
    <w:p w14:paraId="17995EAC" w14:textId="77777777" w:rsidR="00001862" w:rsidRPr="002C2904" w:rsidRDefault="00001862" w:rsidP="0054419B">
      <w:pPr>
        <w:pStyle w:val="Indent2"/>
        <w:ind w:left="0" w:right="509" w:firstLine="0"/>
        <w:rPr>
          <w:rFonts w:ascii="Arial" w:hAnsi="Arial" w:cs="Arial"/>
          <w:sz w:val="22"/>
        </w:rPr>
      </w:pPr>
    </w:p>
    <w:p w14:paraId="71D1A5E0" w14:textId="77777777" w:rsidR="00001862" w:rsidRPr="002C2904" w:rsidRDefault="00001862">
      <w:pPr>
        <w:pStyle w:val="Indent2"/>
        <w:ind w:left="0" w:right="509" w:firstLine="0"/>
        <w:rPr>
          <w:rFonts w:ascii="Arial" w:hAnsi="Arial" w:cs="Arial"/>
          <w:b/>
          <w:sz w:val="22"/>
          <w:u w:val="single"/>
        </w:rPr>
      </w:pPr>
      <w:r w:rsidRPr="002C2904">
        <w:rPr>
          <w:rFonts w:ascii="Arial" w:hAnsi="Arial" w:cs="Arial"/>
          <w:b/>
          <w:sz w:val="22"/>
          <w:u w:val="single"/>
        </w:rPr>
        <w:t>Comments on appraisal</w:t>
      </w:r>
      <w:r w:rsidR="003A7B9E" w:rsidRPr="002C2904">
        <w:rPr>
          <w:rFonts w:ascii="Arial" w:hAnsi="Arial" w:cs="Arial"/>
          <w:b/>
          <w:sz w:val="22"/>
          <w:u w:val="single"/>
        </w:rPr>
        <w:t>/Further information</w:t>
      </w:r>
      <w:r w:rsidRPr="002C2904">
        <w:rPr>
          <w:rFonts w:ascii="Arial" w:hAnsi="Arial" w:cs="Arial"/>
          <w:b/>
          <w:sz w:val="22"/>
          <w:u w:val="single"/>
        </w:rPr>
        <w:t>:</w:t>
      </w:r>
    </w:p>
    <w:p w14:paraId="12D587D3" w14:textId="77777777" w:rsidR="00001862" w:rsidRPr="002C2904" w:rsidRDefault="00001862">
      <w:pPr>
        <w:pStyle w:val="Indent2"/>
        <w:ind w:left="0" w:right="509" w:firstLine="0"/>
        <w:rPr>
          <w:rFonts w:ascii="Arial" w:hAnsi="Arial" w:cs="Arial"/>
          <w:sz w:val="22"/>
        </w:rPr>
      </w:pPr>
    </w:p>
    <w:sectPr w:rsidR="00001862" w:rsidRPr="002C2904" w:rsidSect="00E64896">
      <w:headerReference w:type="default" r:id="rId11"/>
      <w:footerReference w:type="default" r:id="rId12"/>
      <w:pgSz w:w="11906" w:h="16838" w:code="9"/>
      <w:pgMar w:top="1134" w:right="1304" w:bottom="709" w:left="1304" w:header="39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6FA9" w14:textId="77777777" w:rsidR="0092319E" w:rsidRDefault="0092319E">
      <w:r>
        <w:separator/>
      </w:r>
    </w:p>
  </w:endnote>
  <w:endnote w:type="continuationSeparator" w:id="0">
    <w:p w14:paraId="5C6C6947" w14:textId="77777777" w:rsidR="0092319E" w:rsidRDefault="0092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2039" w14:textId="63523068" w:rsidR="00C64988" w:rsidRPr="00FC1CFC" w:rsidRDefault="00FD102D" w:rsidP="00E64896">
    <w:pPr>
      <w:pStyle w:val="Footer"/>
      <w:tabs>
        <w:tab w:val="clear" w:pos="4153"/>
        <w:tab w:val="clear" w:pos="8306"/>
        <w:tab w:val="center" w:pos="4536"/>
        <w:tab w:val="right" w:pos="9356"/>
      </w:tabs>
      <w:ind w:right="-58"/>
      <w:jc w:val="center"/>
      <w:rPr>
        <w:rFonts w:ascii="Arial" w:hAnsi="Arial" w:cs="Arial"/>
      </w:rPr>
    </w:pPr>
    <w:r w:rsidRPr="00C25350">
      <w:rPr>
        <w:rStyle w:val="PageNumber"/>
        <w:rFonts w:ascii="Calibri" w:hAnsi="Calibri" w:cs="Arial"/>
        <w:sz w:val="18"/>
        <w:szCs w:val="18"/>
      </w:rPr>
      <w:t>Annual Status</w:t>
    </w:r>
    <w:r w:rsidR="00C64988" w:rsidRPr="00C25350">
      <w:rPr>
        <w:rStyle w:val="PageNumber"/>
        <w:rFonts w:ascii="Calibri" w:hAnsi="Calibri" w:cs="Arial"/>
        <w:sz w:val="18"/>
        <w:szCs w:val="18"/>
      </w:rPr>
      <w:t xml:space="preserve"> Report Appraisal </w:t>
    </w:r>
    <w:r w:rsidR="00C64988" w:rsidRPr="005F181A">
      <w:rPr>
        <w:rStyle w:val="PageNumber"/>
        <w:rFonts w:ascii="Calibri" w:hAnsi="Calibri" w:cs="Arial"/>
        <w:sz w:val="18"/>
        <w:szCs w:val="18"/>
      </w:rPr>
      <w:t>Report</w:t>
    </w:r>
    <w:r w:rsidR="00C64988" w:rsidRPr="005F181A">
      <w:rPr>
        <w:rStyle w:val="PageNumber"/>
        <w:rFonts w:ascii="Calibri" w:hAnsi="Calibri" w:cs="Arial"/>
        <w:sz w:val="18"/>
        <w:szCs w:val="18"/>
      </w:rPr>
      <w:tab/>
    </w:r>
    <w:r w:rsidR="00C64988" w:rsidRPr="00FC1CFC">
      <w:rPr>
        <w:rStyle w:val="PageNumber"/>
        <w:rFonts w:ascii="Arial" w:hAnsi="Arial" w:cs="Arial"/>
      </w:rPr>
      <w:tab/>
    </w:r>
    <w:r w:rsidR="00C64988" w:rsidRPr="00FC1CFC">
      <w:rPr>
        <w:rStyle w:val="PageNumber"/>
        <w:rFonts w:ascii="Arial" w:hAnsi="Arial" w:cs="Arial"/>
      </w:rPr>
      <w:fldChar w:fldCharType="begin"/>
    </w:r>
    <w:r w:rsidR="00C64988" w:rsidRPr="00FC1CFC">
      <w:rPr>
        <w:rStyle w:val="PageNumber"/>
        <w:rFonts w:ascii="Arial" w:hAnsi="Arial" w:cs="Arial"/>
      </w:rPr>
      <w:instrText xml:space="preserve"> PAGE </w:instrText>
    </w:r>
    <w:r w:rsidR="00C64988" w:rsidRPr="00FC1CFC">
      <w:rPr>
        <w:rStyle w:val="PageNumber"/>
        <w:rFonts w:ascii="Arial" w:hAnsi="Arial" w:cs="Arial"/>
      </w:rPr>
      <w:fldChar w:fldCharType="separate"/>
    </w:r>
    <w:r w:rsidR="005E3749">
      <w:rPr>
        <w:rStyle w:val="PageNumber"/>
        <w:rFonts w:ascii="Arial" w:hAnsi="Arial" w:cs="Arial"/>
        <w:noProof/>
      </w:rPr>
      <w:t>1</w:t>
    </w:r>
    <w:r w:rsidR="00C64988" w:rsidRPr="00FC1CFC">
      <w:rPr>
        <w:rStyle w:val="PageNumber"/>
        <w:rFonts w:ascii="Arial" w:hAnsi="Arial" w:cs="Arial"/>
      </w:rPr>
      <w:fldChar w:fldCharType="end"/>
    </w:r>
  </w:p>
  <w:p w14:paraId="5923F197" w14:textId="77777777" w:rsidR="00C64988" w:rsidRDefault="00B32A8C">
    <w:pPr>
      <w:pStyle w:val="Footer"/>
    </w:pPr>
    <w:r>
      <w:rPr>
        <w:noProof/>
      </w:rPr>
      <mc:AlternateContent>
        <mc:Choice Requires="wps">
          <w:drawing>
            <wp:anchor distT="0" distB="0" distL="114300" distR="114300" simplePos="0" relativeHeight="251657216" behindDoc="0" locked="0" layoutInCell="0" allowOverlap="1" wp14:anchorId="6D22DB48" wp14:editId="6D4352D6">
              <wp:simplePos x="0" y="0"/>
              <wp:positionH relativeFrom="column">
                <wp:posOffset>-539750</wp:posOffset>
              </wp:positionH>
              <wp:positionV relativeFrom="paragraph">
                <wp:posOffset>-158750</wp:posOffset>
              </wp:positionV>
              <wp:extent cx="689673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635"/>
                      </a:xfrm>
                      <a:prstGeom prst="line">
                        <a:avLst/>
                      </a:prstGeom>
                      <a:noFill/>
                      <a:ln w="9525">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C01A5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5pt" to="500.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" o:allowincell="f" strokecolor="#777">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A728A" w14:textId="77777777" w:rsidR="0092319E" w:rsidRDefault="0092319E">
      <w:r>
        <w:separator/>
      </w:r>
    </w:p>
  </w:footnote>
  <w:footnote w:type="continuationSeparator" w:id="0">
    <w:p w14:paraId="33212224" w14:textId="77777777" w:rsidR="0092319E" w:rsidRDefault="0092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113F" w14:textId="77777777" w:rsidR="00C64988" w:rsidRDefault="00C64988" w:rsidP="00041C83">
    <w:pPr>
      <w:pStyle w:val="Header"/>
      <w:tabs>
        <w:tab w:val="clear" w:pos="4153"/>
        <w:tab w:val="clear" w:pos="8306"/>
        <w:tab w:val="center" w:pos="4536"/>
        <w:tab w:val="right" w:pos="10065"/>
      </w:tabs>
      <w:ind w:left="-709"/>
    </w:pPr>
    <w:r>
      <w:rPr>
        <w:noProof/>
      </w:rPr>
      <w:tab/>
    </w:r>
    <w:r>
      <w:tab/>
    </w:r>
  </w:p>
  <w:p w14:paraId="7F545B53" w14:textId="77777777" w:rsidR="00C64988" w:rsidRDefault="00B32A8C" w:rsidP="00041C83">
    <w:pPr>
      <w:pStyle w:val="Header"/>
      <w:tabs>
        <w:tab w:val="clear" w:pos="4153"/>
        <w:tab w:val="clear" w:pos="8306"/>
        <w:tab w:val="center" w:pos="4536"/>
        <w:tab w:val="right" w:pos="10065"/>
      </w:tabs>
      <w:ind w:left="-709"/>
    </w:pPr>
    <w:r>
      <w:rPr>
        <w:noProof/>
      </w:rPr>
      <mc:AlternateContent>
        <mc:Choice Requires="wps">
          <w:drawing>
            <wp:anchor distT="0" distB="0" distL="114300" distR="114300" simplePos="0" relativeHeight="251671040" behindDoc="0" locked="0" layoutInCell="0" allowOverlap="1" wp14:anchorId="44676F09" wp14:editId="4F1B80A3">
              <wp:simplePos x="0" y="0"/>
              <wp:positionH relativeFrom="column">
                <wp:posOffset>-502285</wp:posOffset>
              </wp:positionH>
              <wp:positionV relativeFrom="paragraph">
                <wp:posOffset>18415</wp:posOffset>
              </wp:positionV>
              <wp:extent cx="5715635"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635"/>
                      </a:xfrm>
                      <a:prstGeom prst="line">
                        <a:avLst/>
                      </a:prstGeom>
                      <a:noFill/>
                      <a:ln w="9525">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0241D" id="Line 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45pt" to="4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" o:allowincell="f" strokecolor="#777">
              <v:stroke startarrowwidth="narrow" startarrowlength="short" endarrowwidth="narrow" endarrowlength="short"/>
            </v:line>
          </w:pict>
        </mc:Fallback>
      </mc:AlternateContent>
    </w:r>
  </w:p>
  <w:tbl>
    <w:tblPr>
      <w:tblW w:w="8931" w:type="dxa"/>
      <w:tblInd w:w="107" w:type="dxa"/>
      <w:tblLayout w:type="fixed"/>
      <w:tblCellMar>
        <w:left w:w="107" w:type="dxa"/>
        <w:right w:w="107" w:type="dxa"/>
      </w:tblCellMar>
      <w:tblLook w:val="0000" w:firstRow="0" w:lastRow="0" w:firstColumn="0" w:lastColumn="0" w:noHBand="0" w:noVBand="0"/>
    </w:tblPr>
    <w:tblGrid>
      <w:gridCol w:w="2410"/>
      <w:gridCol w:w="6521"/>
    </w:tblGrid>
    <w:tr w:rsidR="00C64988" w:rsidRPr="006E6AC9" w14:paraId="54B30541" w14:textId="77777777">
      <w:tc>
        <w:tcPr>
          <w:tcW w:w="2410" w:type="dxa"/>
          <w:tcBorders>
            <w:top w:val="single" w:sz="4" w:space="0" w:color="auto"/>
            <w:left w:val="single" w:sz="4" w:space="0" w:color="auto"/>
            <w:bottom w:val="single" w:sz="4" w:space="0" w:color="auto"/>
            <w:right w:val="single" w:sz="4" w:space="0" w:color="auto"/>
          </w:tcBorders>
        </w:tcPr>
        <w:p w14:paraId="62407D41" w14:textId="77777777" w:rsidR="00C64988" w:rsidRPr="001B256B" w:rsidRDefault="00C64988" w:rsidP="00B16746">
          <w:pPr>
            <w:spacing w:before="80" w:after="80"/>
            <w:jc w:val="center"/>
            <w:rPr>
              <w:rFonts w:ascii="Calibri" w:hAnsi="Calibri" w:cs="Calibri"/>
              <w:b/>
              <w:sz w:val="22"/>
              <w:szCs w:val="22"/>
            </w:rPr>
          </w:pPr>
          <w:r w:rsidRPr="001B256B">
            <w:rPr>
              <w:rFonts w:ascii="Calibri" w:hAnsi="Calibri" w:cs="Calibri"/>
              <w:sz w:val="22"/>
              <w:szCs w:val="22"/>
            </w:rPr>
            <w:t>Local Authority:</w:t>
          </w:r>
        </w:p>
      </w:tc>
      <w:tc>
        <w:tcPr>
          <w:tcW w:w="6521" w:type="dxa"/>
          <w:tcBorders>
            <w:top w:val="single" w:sz="4" w:space="0" w:color="auto"/>
            <w:left w:val="single" w:sz="4" w:space="0" w:color="auto"/>
            <w:bottom w:val="single" w:sz="4" w:space="0" w:color="auto"/>
            <w:right w:val="single" w:sz="4" w:space="0" w:color="auto"/>
          </w:tcBorders>
        </w:tcPr>
        <w:p w14:paraId="5F121B6D" w14:textId="2E2B5BC2" w:rsidR="00C64988" w:rsidRPr="008D0DE0" w:rsidRDefault="008D0DE0" w:rsidP="00B16746">
          <w:pPr>
            <w:spacing w:before="80" w:after="80"/>
            <w:jc w:val="center"/>
            <w:rPr>
              <w:rFonts w:ascii="Calibri" w:hAnsi="Calibri" w:cs="Calibri"/>
              <w:b/>
              <w:sz w:val="22"/>
              <w:szCs w:val="22"/>
            </w:rPr>
          </w:pPr>
          <w:r w:rsidRPr="008D0DE0">
            <w:rPr>
              <w:rFonts w:ascii="Calibri" w:hAnsi="Calibri" w:cs="Calibri"/>
              <w:b/>
              <w:sz w:val="22"/>
              <w:szCs w:val="22"/>
            </w:rPr>
            <w:t>Cheltenham Borough Council</w:t>
          </w:r>
        </w:p>
      </w:tc>
    </w:tr>
    <w:tr w:rsidR="00C64988" w:rsidRPr="006E6AC9" w14:paraId="76E4363D" w14:textId="77777777">
      <w:tc>
        <w:tcPr>
          <w:tcW w:w="2410" w:type="dxa"/>
          <w:tcBorders>
            <w:top w:val="single" w:sz="4" w:space="0" w:color="auto"/>
            <w:left w:val="single" w:sz="4" w:space="0" w:color="auto"/>
            <w:bottom w:val="single" w:sz="4" w:space="0" w:color="auto"/>
            <w:right w:val="single" w:sz="4" w:space="0" w:color="auto"/>
          </w:tcBorders>
        </w:tcPr>
        <w:p w14:paraId="72DD7497" w14:textId="77777777" w:rsidR="00C64988" w:rsidRPr="001B256B" w:rsidRDefault="00C64988" w:rsidP="00B16746">
          <w:pPr>
            <w:spacing w:before="80" w:after="80"/>
            <w:jc w:val="center"/>
            <w:rPr>
              <w:rFonts w:ascii="Calibri" w:hAnsi="Calibri" w:cs="Calibri"/>
              <w:sz w:val="22"/>
              <w:szCs w:val="22"/>
            </w:rPr>
          </w:pPr>
          <w:r w:rsidRPr="001B256B">
            <w:rPr>
              <w:rFonts w:ascii="Calibri" w:hAnsi="Calibri" w:cs="Calibri"/>
              <w:sz w:val="22"/>
              <w:szCs w:val="22"/>
            </w:rPr>
            <w:t>Reference:</w:t>
          </w:r>
        </w:p>
      </w:tc>
      <w:tc>
        <w:tcPr>
          <w:tcW w:w="6521" w:type="dxa"/>
          <w:tcBorders>
            <w:top w:val="single" w:sz="4" w:space="0" w:color="auto"/>
            <w:left w:val="single" w:sz="4" w:space="0" w:color="auto"/>
            <w:bottom w:val="single" w:sz="4" w:space="0" w:color="auto"/>
            <w:right w:val="single" w:sz="4" w:space="0" w:color="auto"/>
          </w:tcBorders>
        </w:tcPr>
        <w:p w14:paraId="34CEA6DD" w14:textId="33F3B271" w:rsidR="00C64988" w:rsidRPr="008D0DE0" w:rsidRDefault="009D7BBF" w:rsidP="007F7459">
          <w:pPr>
            <w:spacing w:before="80" w:after="80"/>
            <w:jc w:val="center"/>
            <w:rPr>
              <w:rFonts w:ascii="Calibri" w:hAnsi="Calibri" w:cs="Calibri"/>
              <w:b/>
              <w:sz w:val="22"/>
              <w:szCs w:val="22"/>
            </w:rPr>
          </w:pPr>
          <w:r w:rsidRPr="009D7BBF">
            <w:rPr>
              <w:rFonts w:ascii="Calibri" w:hAnsi="Calibri" w:cs="Calibri"/>
              <w:b/>
              <w:sz w:val="22"/>
              <w:szCs w:val="22"/>
            </w:rPr>
            <w:t>ASR25-2674</w:t>
          </w:r>
        </w:p>
      </w:tc>
    </w:tr>
    <w:tr w:rsidR="00C64988" w:rsidRPr="006E6AC9" w14:paraId="109EEEFC" w14:textId="77777777">
      <w:tc>
        <w:tcPr>
          <w:tcW w:w="2410" w:type="dxa"/>
          <w:tcBorders>
            <w:top w:val="single" w:sz="4" w:space="0" w:color="auto"/>
            <w:left w:val="single" w:sz="4" w:space="0" w:color="auto"/>
            <w:bottom w:val="single" w:sz="4" w:space="0" w:color="auto"/>
            <w:right w:val="single" w:sz="4" w:space="0" w:color="auto"/>
          </w:tcBorders>
        </w:tcPr>
        <w:p w14:paraId="2C01A6B7" w14:textId="77777777" w:rsidR="00C64988" w:rsidRPr="001B256B" w:rsidRDefault="00C64988" w:rsidP="00B16746">
          <w:pPr>
            <w:spacing w:before="80" w:after="80"/>
            <w:jc w:val="center"/>
            <w:rPr>
              <w:rFonts w:ascii="Calibri" w:hAnsi="Calibri" w:cs="Calibri"/>
              <w:sz w:val="22"/>
              <w:szCs w:val="22"/>
            </w:rPr>
          </w:pPr>
          <w:r w:rsidRPr="001B256B">
            <w:rPr>
              <w:rFonts w:ascii="Calibri" w:hAnsi="Calibri" w:cs="Calibri"/>
              <w:sz w:val="22"/>
              <w:szCs w:val="22"/>
            </w:rPr>
            <w:t>Date of issue</w:t>
          </w:r>
        </w:p>
      </w:tc>
      <w:tc>
        <w:tcPr>
          <w:tcW w:w="6521" w:type="dxa"/>
          <w:tcBorders>
            <w:top w:val="single" w:sz="4" w:space="0" w:color="auto"/>
            <w:left w:val="single" w:sz="4" w:space="0" w:color="auto"/>
            <w:bottom w:val="single" w:sz="4" w:space="0" w:color="auto"/>
            <w:right w:val="single" w:sz="4" w:space="0" w:color="auto"/>
          </w:tcBorders>
        </w:tcPr>
        <w:p w14:paraId="56658B54" w14:textId="048FB57E" w:rsidR="00C64988" w:rsidRPr="008D0DE0" w:rsidRDefault="009D7BBF" w:rsidP="007A7E37">
          <w:pPr>
            <w:spacing w:before="80" w:after="80"/>
            <w:jc w:val="center"/>
            <w:rPr>
              <w:rFonts w:ascii="Calibri" w:hAnsi="Calibri" w:cs="Calibri"/>
              <w:b/>
              <w:sz w:val="22"/>
              <w:szCs w:val="22"/>
            </w:rPr>
          </w:pPr>
          <w:r>
            <w:rPr>
              <w:rFonts w:ascii="Calibri" w:hAnsi="Calibri" w:cs="Calibri"/>
              <w:b/>
              <w:sz w:val="22"/>
              <w:szCs w:val="22"/>
            </w:rPr>
            <w:t>July 2025</w:t>
          </w:r>
        </w:p>
      </w:tc>
    </w:tr>
  </w:tbl>
  <w:p w14:paraId="3C42E861" w14:textId="77777777" w:rsidR="00C64988" w:rsidRDefault="00C64988">
    <w:pPr>
      <w:pStyle w:val="Header"/>
    </w:pPr>
  </w:p>
  <w:p w14:paraId="6DD998DE" w14:textId="77777777" w:rsidR="00C64988" w:rsidRDefault="00C64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646CA5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786C490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D8F8320E"/>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D01266"/>
    <w:multiLevelType w:val="hybridMultilevel"/>
    <w:tmpl w:val="4D0E85C2"/>
    <w:lvl w:ilvl="0" w:tplc="ED3A5BF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46F97"/>
    <w:multiLevelType w:val="hybridMultilevel"/>
    <w:tmpl w:val="16AC2BC2"/>
    <w:lvl w:ilvl="0" w:tplc="A108244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D08C2"/>
    <w:multiLevelType w:val="singleLevel"/>
    <w:tmpl w:val="604A92DC"/>
    <w:lvl w:ilvl="0">
      <w:start w:val="2"/>
      <w:numFmt w:val="upperLetter"/>
      <w:lvlText w:val="%1)"/>
      <w:lvlJc w:val="left"/>
      <w:pPr>
        <w:tabs>
          <w:tab w:val="num" w:pos="360"/>
        </w:tabs>
        <w:ind w:left="360" w:hanging="360"/>
      </w:pPr>
      <w:rPr>
        <w:rFonts w:hint="default"/>
      </w:rPr>
    </w:lvl>
  </w:abstractNum>
  <w:abstractNum w:abstractNumId="7" w15:restartNumberingAfterBreak="0">
    <w:nsid w:val="0BE87DC8"/>
    <w:multiLevelType w:val="hybridMultilevel"/>
    <w:tmpl w:val="BE0EA31A"/>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D228D"/>
    <w:multiLevelType w:val="singleLevel"/>
    <w:tmpl w:val="DC9605AE"/>
    <w:lvl w:ilvl="0">
      <w:start w:val="1"/>
      <w:numFmt w:val="decimal"/>
      <w:lvlText w:val="%1."/>
      <w:legacy w:legacy="1" w:legacySpace="0" w:legacyIndent="567"/>
      <w:lvlJc w:val="left"/>
      <w:pPr>
        <w:ind w:left="1304" w:hanging="567"/>
      </w:pPr>
    </w:lvl>
  </w:abstractNum>
  <w:abstractNum w:abstractNumId="9" w15:restartNumberingAfterBreak="0">
    <w:nsid w:val="147F556E"/>
    <w:multiLevelType w:val="multilevel"/>
    <w:tmpl w:val="36D044FE"/>
    <w:lvl w:ilvl="0">
      <w:start w:val="1"/>
      <w:numFmt w:val="decimal"/>
      <w:lvlText w:val="%1."/>
      <w:lvlJc w:val="left"/>
      <w:pPr>
        <w:ind w:left="502"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F93CC0"/>
    <w:multiLevelType w:val="hybridMultilevel"/>
    <w:tmpl w:val="4D0E85C2"/>
    <w:lvl w:ilvl="0" w:tplc="ED3A5BF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92B74"/>
    <w:multiLevelType w:val="singleLevel"/>
    <w:tmpl w:val="586ED8BE"/>
    <w:lvl w:ilvl="0">
      <w:start w:val="1"/>
      <w:numFmt w:val="upperLetter"/>
      <w:lvlText w:val="%1)"/>
      <w:lvlJc w:val="left"/>
      <w:pPr>
        <w:tabs>
          <w:tab w:val="num" w:pos="360"/>
        </w:tabs>
        <w:ind w:left="360" w:hanging="360"/>
      </w:pPr>
      <w:rPr>
        <w:rFonts w:hint="default"/>
      </w:rPr>
    </w:lvl>
  </w:abstractNum>
  <w:abstractNum w:abstractNumId="12" w15:restartNumberingAfterBreak="0">
    <w:nsid w:val="18285DAC"/>
    <w:multiLevelType w:val="singleLevel"/>
    <w:tmpl w:val="D4DA5AE2"/>
    <w:lvl w:ilvl="0">
      <w:start w:val="1"/>
      <w:numFmt w:val="upperLetter"/>
      <w:lvlText w:val="%1)"/>
      <w:lvlJc w:val="left"/>
      <w:pPr>
        <w:tabs>
          <w:tab w:val="num" w:pos="360"/>
        </w:tabs>
        <w:ind w:left="360" w:hanging="360"/>
      </w:pPr>
      <w:rPr>
        <w:rFonts w:hint="default"/>
        <w:b/>
      </w:rPr>
    </w:lvl>
  </w:abstractNum>
  <w:abstractNum w:abstractNumId="13" w15:restartNumberingAfterBreak="0">
    <w:nsid w:val="1C7D627D"/>
    <w:multiLevelType w:val="multilevel"/>
    <w:tmpl w:val="6F68668C"/>
    <w:lvl w:ilvl="0">
      <w:start w:val="2"/>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BD24D4"/>
    <w:multiLevelType w:val="multilevel"/>
    <w:tmpl w:val="CF8021C0"/>
    <w:lvl w:ilvl="0">
      <w:start w:val="2"/>
      <w:numFmt w:val="decimal"/>
      <w:lvlText w:val="%1"/>
      <w:lvlJc w:val="left"/>
      <w:pPr>
        <w:ind w:left="111" w:hanging="392"/>
      </w:pPr>
      <w:rPr>
        <w:lang w:val="en-GB" w:eastAsia="en-GB" w:bidi="en-GB"/>
      </w:rPr>
    </w:lvl>
    <w:lvl w:ilvl="1">
      <w:start w:val="1"/>
      <w:numFmt w:val="decimal"/>
      <w:lvlText w:val="%1.%2."/>
      <w:lvlJc w:val="left"/>
      <w:pPr>
        <w:ind w:left="111" w:hanging="392"/>
      </w:pPr>
      <w:rPr>
        <w:rFonts w:ascii="Arial" w:eastAsia="Arial" w:hAnsi="Arial" w:cs="Arial" w:hint="default"/>
        <w:spacing w:val="-2"/>
        <w:w w:val="100"/>
        <w:sz w:val="20"/>
        <w:szCs w:val="20"/>
        <w:lang w:val="en-GB" w:eastAsia="en-GB" w:bidi="en-GB"/>
      </w:rPr>
    </w:lvl>
    <w:lvl w:ilvl="2">
      <w:numFmt w:val="bullet"/>
      <w:lvlText w:val=""/>
      <w:lvlJc w:val="left"/>
      <w:pPr>
        <w:ind w:left="716" w:hanging="303"/>
      </w:pPr>
      <w:rPr>
        <w:rFonts w:ascii="Symbol" w:eastAsia="Symbol" w:hAnsi="Symbol" w:cs="Symbol" w:hint="default"/>
        <w:w w:val="100"/>
        <w:sz w:val="20"/>
        <w:szCs w:val="20"/>
        <w:lang w:val="en-GB" w:eastAsia="en-GB" w:bidi="en-GB"/>
      </w:rPr>
    </w:lvl>
    <w:lvl w:ilvl="3">
      <w:numFmt w:val="bullet"/>
      <w:lvlText w:val="•"/>
      <w:lvlJc w:val="left"/>
      <w:pPr>
        <w:ind w:left="2592" w:hanging="303"/>
      </w:pPr>
      <w:rPr>
        <w:lang w:val="en-GB" w:eastAsia="en-GB" w:bidi="en-GB"/>
      </w:rPr>
    </w:lvl>
    <w:lvl w:ilvl="4">
      <w:numFmt w:val="bullet"/>
      <w:lvlText w:val="•"/>
      <w:lvlJc w:val="left"/>
      <w:pPr>
        <w:ind w:left="3528" w:hanging="303"/>
      </w:pPr>
      <w:rPr>
        <w:lang w:val="en-GB" w:eastAsia="en-GB" w:bidi="en-GB"/>
      </w:rPr>
    </w:lvl>
    <w:lvl w:ilvl="5">
      <w:numFmt w:val="bullet"/>
      <w:lvlText w:val="•"/>
      <w:lvlJc w:val="left"/>
      <w:pPr>
        <w:ind w:left="4465" w:hanging="303"/>
      </w:pPr>
      <w:rPr>
        <w:lang w:val="en-GB" w:eastAsia="en-GB" w:bidi="en-GB"/>
      </w:rPr>
    </w:lvl>
    <w:lvl w:ilvl="6">
      <w:numFmt w:val="bullet"/>
      <w:lvlText w:val="•"/>
      <w:lvlJc w:val="left"/>
      <w:pPr>
        <w:ind w:left="5401" w:hanging="303"/>
      </w:pPr>
      <w:rPr>
        <w:lang w:val="en-GB" w:eastAsia="en-GB" w:bidi="en-GB"/>
      </w:rPr>
    </w:lvl>
    <w:lvl w:ilvl="7">
      <w:numFmt w:val="bullet"/>
      <w:lvlText w:val="•"/>
      <w:lvlJc w:val="left"/>
      <w:pPr>
        <w:ind w:left="6337" w:hanging="303"/>
      </w:pPr>
      <w:rPr>
        <w:lang w:val="en-GB" w:eastAsia="en-GB" w:bidi="en-GB"/>
      </w:rPr>
    </w:lvl>
    <w:lvl w:ilvl="8">
      <w:numFmt w:val="bullet"/>
      <w:lvlText w:val="•"/>
      <w:lvlJc w:val="left"/>
      <w:pPr>
        <w:ind w:left="7273" w:hanging="303"/>
      </w:pPr>
      <w:rPr>
        <w:lang w:val="en-GB" w:eastAsia="en-GB" w:bidi="en-GB"/>
      </w:rPr>
    </w:lvl>
  </w:abstractNum>
  <w:abstractNum w:abstractNumId="15" w15:restartNumberingAfterBreak="0">
    <w:nsid w:val="1DEA50F8"/>
    <w:multiLevelType w:val="singleLevel"/>
    <w:tmpl w:val="DC9605AE"/>
    <w:lvl w:ilvl="0">
      <w:start w:val="1"/>
      <w:numFmt w:val="decimal"/>
      <w:lvlText w:val="%1."/>
      <w:legacy w:legacy="1" w:legacySpace="0" w:legacyIndent="567"/>
      <w:lvlJc w:val="left"/>
      <w:pPr>
        <w:ind w:left="1304" w:hanging="567"/>
      </w:pPr>
    </w:lvl>
  </w:abstractNum>
  <w:abstractNum w:abstractNumId="16" w15:restartNumberingAfterBreak="0">
    <w:nsid w:val="1FC80014"/>
    <w:multiLevelType w:val="hybridMultilevel"/>
    <w:tmpl w:val="48F662E8"/>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896859"/>
    <w:multiLevelType w:val="hybridMultilevel"/>
    <w:tmpl w:val="EB2CA3F0"/>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684A39"/>
    <w:multiLevelType w:val="hybridMultilevel"/>
    <w:tmpl w:val="543C081C"/>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84777"/>
    <w:multiLevelType w:val="hybridMultilevel"/>
    <w:tmpl w:val="E37472CA"/>
    <w:lvl w:ilvl="0" w:tplc="8DFCA476">
      <w:start w:val="1"/>
      <w:numFmt w:val="decimal"/>
      <w:lvlText w:val="%1"/>
      <w:lvlJc w:val="left"/>
      <w:pPr>
        <w:ind w:left="360" w:hanging="360"/>
      </w:pPr>
      <w:rPr>
        <w:rFonts w:hint="default"/>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574C54"/>
    <w:multiLevelType w:val="singleLevel"/>
    <w:tmpl w:val="F12252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8567D7A"/>
    <w:multiLevelType w:val="hybridMultilevel"/>
    <w:tmpl w:val="295AC020"/>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D3158"/>
    <w:multiLevelType w:val="singleLevel"/>
    <w:tmpl w:val="58AE7E5C"/>
    <w:lvl w:ilvl="0">
      <w:start w:val="2"/>
      <w:numFmt w:val="upperLetter"/>
      <w:lvlText w:val="%1)"/>
      <w:lvlJc w:val="left"/>
      <w:pPr>
        <w:tabs>
          <w:tab w:val="num" w:pos="360"/>
        </w:tabs>
        <w:ind w:left="360" w:hanging="360"/>
      </w:pPr>
      <w:rPr>
        <w:rFonts w:hint="default"/>
      </w:rPr>
    </w:lvl>
  </w:abstractNum>
  <w:abstractNum w:abstractNumId="23" w15:restartNumberingAfterBreak="0">
    <w:nsid w:val="4052515C"/>
    <w:multiLevelType w:val="hybridMultilevel"/>
    <w:tmpl w:val="021A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06340"/>
    <w:multiLevelType w:val="hybridMultilevel"/>
    <w:tmpl w:val="C7409FBC"/>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24776"/>
    <w:multiLevelType w:val="hybridMultilevel"/>
    <w:tmpl w:val="34C85328"/>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8657F79"/>
    <w:multiLevelType w:val="hybridMultilevel"/>
    <w:tmpl w:val="1C3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0692D"/>
    <w:multiLevelType w:val="hybridMultilevel"/>
    <w:tmpl w:val="6E3C744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43F2D33"/>
    <w:multiLevelType w:val="hybridMultilevel"/>
    <w:tmpl w:val="5F22EFF4"/>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9" w15:restartNumberingAfterBreak="0">
    <w:nsid w:val="59030080"/>
    <w:multiLevelType w:val="hybridMultilevel"/>
    <w:tmpl w:val="BDDC3C4C"/>
    <w:lvl w:ilvl="0" w:tplc="A5F07566">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1" w:tplc="395E2F84">
      <w:numFmt w:val="bullet"/>
      <w:lvlText w:val="•"/>
      <w:lvlJc w:val="left"/>
      <w:pPr>
        <w:ind w:left="1765" w:hanging="360"/>
      </w:pPr>
      <w:rPr>
        <w:rFonts w:hint="default"/>
        <w:lang w:val="en-US" w:eastAsia="en-US" w:bidi="ar-SA"/>
      </w:rPr>
    </w:lvl>
    <w:lvl w:ilvl="2" w:tplc="2C8C553E">
      <w:numFmt w:val="bullet"/>
      <w:lvlText w:val="•"/>
      <w:lvlJc w:val="left"/>
      <w:pPr>
        <w:ind w:left="2671" w:hanging="360"/>
      </w:pPr>
      <w:rPr>
        <w:rFonts w:hint="default"/>
        <w:lang w:val="en-US" w:eastAsia="en-US" w:bidi="ar-SA"/>
      </w:rPr>
    </w:lvl>
    <w:lvl w:ilvl="3" w:tplc="A8E62142">
      <w:numFmt w:val="bullet"/>
      <w:lvlText w:val="•"/>
      <w:lvlJc w:val="left"/>
      <w:pPr>
        <w:ind w:left="3576" w:hanging="360"/>
      </w:pPr>
      <w:rPr>
        <w:rFonts w:hint="default"/>
        <w:lang w:val="en-US" w:eastAsia="en-US" w:bidi="ar-SA"/>
      </w:rPr>
    </w:lvl>
    <w:lvl w:ilvl="4" w:tplc="4BC8A10E">
      <w:numFmt w:val="bullet"/>
      <w:lvlText w:val="•"/>
      <w:lvlJc w:val="left"/>
      <w:pPr>
        <w:ind w:left="4482" w:hanging="360"/>
      </w:pPr>
      <w:rPr>
        <w:rFonts w:hint="default"/>
        <w:lang w:val="en-US" w:eastAsia="en-US" w:bidi="ar-SA"/>
      </w:rPr>
    </w:lvl>
    <w:lvl w:ilvl="5" w:tplc="372A9E94">
      <w:numFmt w:val="bullet"/>
      <w:lvlText w:val="•"/>
      <w:lvlJc w:val="left"/>
      <w:pPr>
        <w:ind w:left="5387" w:hanging="360"/>
      </w:pPr>
      <w:rPr>
        <w:rFonts w:hint="default"/>
        <w:lang w:val="en-US" w:eastAsia="en-US" w:bidi="ar-SA"/>
      </w:rPr>
    </w:lvl>
    <w:lvl w:ilvl="6" w:tplc="199605A8">
      <w:numFmt w:val="bullet"/>
      <w:lvlText w:val="•"/>
      <w:lvlJc w:val="left"/>
      <w:pPr>
        <w:ind w:left="6293" w:hanging="360"/>
      </w:pPr>
      <w:rPr>
        <w:rFonts w:hint="default"/>
        <w:lang w:val="en-US" w:eastAsia="en-US" w:bidi="ar-SA"/>
      </w:rPr>
    </w:lvl>
    <w:lvl w:ilvl="7" w:tplc="3CFE55A6">
      <w:numFmt w:val="bullet"/>
      <w:lvlText w:val="•"/>
      <w:lvlJc w:val="left"/>
      <w:pPr>
        <w:ind w:left="7198" w:hanging="360"/>
      </w:pPr>
      <w:rPr>
        <w:rFonts w:hint="default"/>
        <w:lang w:val="en-US" w:eastAsia="en-US" w:bidi="ar-SA"/>
      </w:rPr>
    </w:lvl>
    <w:lvl w:ilvl="8" w:tplc="2332953A">
      <w:numFmt w:val="bullet"/>
      <w:lvlText w:val="•"/>
      <w:lvlJc w:val="left"/>
      <w:pPr>
        <w:ind w:left="8104" w:hanging="360"/>
      </w:pPr>
      <w:rPr>
        <w:rFonts w:hint="default"/>
        <w:lang w:val="en-US" w:eastAsia="en-US" w:bidi="ar-SA"/>
      </w:rPr>
    </w:lvl>
  </w:abstractNum>
  <w:abstractNum w:abstractNumId="30" w15:restartNumberingAfterBreak="0">
    <w:nsid w:val="5C544355"/>
    <w:multiLevelType w:val="hybridMultilevel"/>
    <w:tmpl w:val="A976B296"/>
    <w:lvl w:ilvl="0" w:tplc="D038B3A4">
      <w:start w:val="1"/>
      <w:numFmt w:val="bullet"/>
      <w:lvlText w:val="·"/>
      <w:lvlJc w:val="left"/>
      <w:pPr>
        <w:ind w:left="720" w:hanging="360"/>
      </w:pPr>
      <w:rPr>
        <w:rFonts w:ascii="Symbol" w:hAnsi="Symbol" w:hint="default"/>
      </w:rPr>
    </w:lvl>
    <w:lvl w:ilvl="1" w:tplc="5268D84C">
      <w:start w:val="1"/>
      <w:numFmt w:val="bullet"/>
      <w:lvlText w:val="o"/>
      <w:lvlJc w:val="left"/>
      <w:pPr>
        <w:ind w:left="1440" w:hanging="360"/>
      </w:pPr>
      <w:rPr>
        <w:rFonts w:ascii="Courier New" w:hAnsi="Courier New" w:hint="default"/>
      </w:rPr>
    </w:lvl>
    <w:lvl w:ilvl="2" w:tplc="8238FC62">
      <w:start w:val="1"/>
      <w:numFmt w:val="bullet"/>
      <w:lvlText w:val=""/>
      <w:lvlJc w:val="left"/>
      <w:pPr>
        <w:ind w:left="2160" w:hanging="360"/>
      </w:pPr>
      <w:rPr>
        <w:rFonts w:ascii="Wingdings" w:hAnsi="Wingdings" w:hint="default"/>
      </w:rPr>
    </w:lvl>
    <w:lvl w:ilvl="3" w:tplc="03EE33CE">
      <w:start w:val="1"/>
      <w:numFmt w:val="bullet"/>
      <w:lvlText w:val=""/>
      <w:lvlJc w:val="left"/>
      <w:pPr>
        <w:ind w:left="2880" w:hanging="360"/>
      </w:pPr>
      <w:rPr>
        <w:rFonts w:ascii="Symbol" w:hAnsi="Symbol" w:hint="default"/>
      </w:rPr>
    </w:lvl>
    <w:lvl w:ilvl="4" w:tplc="F65271EE">
      <w:start w:val="1"/>
      <w:numFmt w:val="bullet"/>
      <w:lvlText w:val="o"/>
      <w:lvlJc w:val="left"/>
      <w:pPr>
        <w:ind w:left="3600" w:hanging="360"/>
      </w:pPr>
      <w:rPr>
        <w:rFonts w:ascii="Courier New" w:hAnsi="Courier New" w:hint="default"/>
      </w:rPr>
    </w:lvl>
    <w:lvl w:ilvl="5" w:tplc="10AC0AF0">
      <w:start w:val="1"/>
      <w:numFmt w:val="bullet"/>
      <w:lvlText w:val=""/>
      <w:lvlJc w:val="left"/>
      <w:pPr>
        <w:ind w:left="4320" w:hanging="360"/>
      </w:pPr>
      <w:rPr>
        <w:rFonts w:ascii="Wingdings" w:hAnsi="Wingdings" w:hint="default"/>
      </w:rPr>
    </w:lvl>
    <w:lvl w:ilvl="6" w:tplc="FC56F656">
      <w:start w:val="1"/>
      <w:numFmt w:val="bullet"/>
      <w:lvlText w:val=""/>
      <w:lvlJc w:val="left"/>
      <w:pPr>
        <w:ind w:left="5040" w:hanging="360"/>
      </w:pPr>
      <w:rPr>
        <w:rFonts w:ascii="Symbol" w:hAnsi="Symbol" w:hint="default"/>
      </w:rPr>
    </w:lvl>
    <w:lvl w:ilvl="7" w:tplc="E6B8AA7A">
      <w:start w:val="1"/>
      <w:numFmt w:val="bullet"/>
      <w:lvlText w:val="o"/>
      <w:lvlJc w:val="left"/>
      <w:pPr>
        <w:ind w:left="5760" w:hanging="360"/>
      </w:pPr>
      <w:rPr>
        <w:rFonts w:ascii="Courier New" w:hAnsi="Courier New" w:hint="default"/>
      </w:rPr>
    </w:lvl>
    <w:lvl w:ilvl="8" w:tplc="AF42E8C0">
      <w:start w:val="1"/>
      <w:numFmt w:val="bullet"/>
      <w:lvlText w:val=""/>
      <w:lvlJc w:val="left"/>
      <w:pPr>
        <w:ind w:left="6480" w:hanging="360"/>
      </w:pPr>
      <w:rPr>
        <w:rFonts w:ascii="Wingdings" w:hAnsi="Wingdings" w:hint="default"/>
      </w:rPr>
    </w:lvl>
  </w:abstractNum>
  <w:abstractNum w:abstractNumId="31" w15:restartNumberingAfterBreak="0">
    <w:nsid w:val="5F410C04"/>
    <w:multiLevelType w:val="hybridMultilevel"/>
    <w:tmpl w:val="6DDC1E66"/>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C5508"/>
    <w:multiLevelType w:val="hybridMultilevel"/>
    <w:tmpl w:val="D56418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AC3788C"/>
    <w:multiLevelType w:val="hybridMultilevel"/>
    <w:tmpl w:val="B0B49FD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2AE4534"/>
    <w:multiLevelType w:val="singleLevel"/>
    <w:tmpl w:val="4E58FE94"/>
    <w:lvl w:ilvl="0">
      <w:start w:val="1"/>
      <w:numFmt w:val="upperLetter"/>
      <w:lvlText w:val="%1)"/>
      <w:lvlJc w:val="left"/>
      <w:pPr>
        <w:tabs>
          <w:tab w:val="num" w:pos="360"/>
        </w:tabs>
        <w:ind w:left="360" w:hanging="360"/>
      </w:pPr>
      <w:rPr>
        <w:rFonts w:hint="default"/>
        <w:b/>
      </w:rPr>
    </w:lvl>
  </w:abstractNum>
  <w:abstractNum w:abstractNumId="35" w15:restartNumberingAfterBreak="0">
    <w:nsid w:val="75C97DA9"/>
    <w:multiLevelType w:val="hybridMultilevel"/>
    <w:tmpl w:val="7E644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F153C"/>
    <w:multiLevelType w:val="hybridMultilevel"/>
    <w:tmpl w:val="AFAC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06CE1"/>
    <w:multiLevelType w:val="hybridMultilevel"/>
    <w:tmpl w:val="851ACAF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881475344">
    <w:abstractNumId w:val="11"/>
  </w:num>
  <w:num w:numId="2" w16cid:durableId="1506822139">
    <w:abstractNumId w:val="22"/>
  </w:num>
  <w:num w:numId="3" w16cid:durableId="486673509">
    <w:abstractNumId w:val="34"/>
  </w:num>
  <w:num w:numId="4" w16cid:durableId="224419564">
    <w:abstractNumId w:val="12"/>
  </w:num>
  <w:num w:numId="5" w16cid:durableId="692417719">
    <w:abstractNumId w:val="6"/>
  </w:num>
  <w:num w:numId="6" w16cid:durableId="1945577723">
    <w:abstractNumId w:val="3"/>
    <w:lvlOverride w:ilvl="0">
      <w:lvl w:ilvl="0">
        <w:start w:val="1"/>
        <w:numFmt w:val="bullet"/>
        <w:lvlText w:val=""/>
        <w:legacy w:legacy="1" w:legacySpace="0" w:legacyIndent="567"/>
        <w:lvlJc w:val="left"/>
        <w:pPr>
          <w:ind w:left="1304" w:hanging="567"/>
        </w:pPr>
        <w:rPr>
          <w:rFonts w:ascii="Symbol" w:hAnsi="Symbol" w:hint="default"/>
        </w:rPr>
      </w:lvl>
    </w:lvlOverride>
  </w:num>
  <w:num w:numId="7" w16cid:durableId="1191994150">
    <w:abstractNumId w:val="15"/>
  </w:num>
  <w:num w:numId="8" w16cid:durableId="1631208176">
    <w:abstractNumId w:val="8"/>
  </w:num>
  <w:num w:numId="9" w16cid:durableId="117528367">
    <w:abstractNumId w:val="20"/>
  </w:num>
  <w:num w:numId="10" w16cid:durableId="1178815289">
    <w:abstractNumId w:val="5"/>
  </w:num>
  <w:num w:numId="11" w16cid:durableId="501893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4824923">
    <w:abstractNumId w:val="32"/>
  </w:num>
  <w:num w:numId="13" w16cid:durableId="967706282">
    <w:abstractNumId w:val="36"/>
  </w:num>
  <w:num w:numId="14" w16cid:durableId="2099323177">
    <w:abstractNumId w:val="7"/>
  </w:num>
  <w:num w:numId="15" w16cid:durableId="1301959144">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16" w16cid:durableId="119342183">
    <w:abstractNumId w:val="18"/>
  </w:num>
  <w:num w:numId="17" w16cid:durableId="1676297019">
    <w:abstractNumId w:val="24"/>
  </w:num>
  <w:num w:numId="18" w16cid:durableId="1012803881">
    <w:abstractNumId w:val="21"/>
  </w:num>
  <w:num w:numId="19" w16cid:durableId="1761872015">
    <w:abstractNumId w:val="31"/>
  </w:num>
  <w:num w:numId="20" w16cid:durableId="229854821">
    <w:abstractNumId w:val="25"/>
  </w:num>
  <w:num w:numId="21" w16cid:durableId="800079971">
    <w:abstractNumId w:val="28"/>
  </w:num>
  <w:num w:numId="22" w16cid:durableId="46875681">
    <w:abstractNumId w:val="27"/>
  </w:num>
  <w:num w:numId="23" w16cid:durableId="1849636894">
    <w:abstractNumId w:val="37"/>
  </w:num>
  <w:num w:numId="24" w16cid:durableId="1036468879">
    <w:abstractNumId w:val="33"/>
  </w:num>
  <w:num w:numId="25" w16cid:durableId="843937211">
    <w:abstractNumId w:val="2"/>
  </w:num>
  <w:num w:numId="26" w16cid:durableId="1930653761">
    <w:abstractNumId w:val="1"/>
  </w:num>
  <w:num w:numId="27" w16cid:durableId="2104257729">
    <w:abstractNumId w:val="0"/>
  </w:num>
  <w:num w:numId="28" w16cid:durableId="1445080080">
    <w:abstractNumId w:val="19"/>
  </w:num>
  <w:num w:numId="29" w16cid:durableId="127629313">
    <w:abstractNumId w:val="4"/>
  </w:num>
  <w:num w:numId="30" w16cid:durableId="1745225830">
    <w:abstractNumId w:val="26"/>
  </w:num>
  <w:num w:numId="31" w16cid:durableId="698317348">
    <w:abstractNumId w:val="35"/>
  </w:num>
  <w:num w:numId="32" w16cid:durableId="660163740">
    <w:abstractNumId w:val="16"/>
  </w:num>
  <w:num w:numId="33" w16cid:durableId="1699357150">
    <w:abstractNumId w:val="10"/>
  </w:num>
  <w:num w:numId="34" w16cid:durableId="147747991">
    <w:abstractNumId w:val="30"/>
  </w:num>
  <w:num w:numId="35" w16cid:durableId="1018655498">
    <w:abstractNumId w:val="13"/>
  </w:num>
  <w:num w:numId="36" w16cid:durableId="186993183">
    <w:abstractNumId w:val="9"/>
  </w:num>
  <w:num w:numId="37" w16cid:durableId="424157310">
    <w:abstractNumId w:val="23"/>
  </w:num>
  <w:num w:numId="38" w16cid:durableId="1950812186">
    <w:abstractNumId w:val="17"/>
  </w:num>
  <w:num w:numId="39" w16cid:durableId="1322348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FD"/>
    <w:rsid w:val="00001862"/>
    <w:rsid w:val="00016611"/>
    <w:rsid w:val="000217B2"/>
    <w:rsid w:val="00022A96"/>
    <w:rsid w:val="00022BFC"/>
    <w:rsid w:val="00026066"/>
    <w:rsid w:val="00026AD2"/>
    <w:rsid w:val="000378E2"/>
    <w:rsid w:val="00041C83"/>
    <w:rsid w:val="00041F31"/>
    <w:rsid w:val="00051BD7"/>
    <w:rsid w:val="00052046"/>
    <w:rsid w:val="00055DE6"/>
    <w:rsid w:val="0006395C"/>
    <w:rsid w:val="00065008"/>
    <w:rsid w:val="0007155B"/>
    <w:rsid w:val="00072783"/>
    <w:rsid w:val="00073797"/>
    <w:rsid w:val="000752DD"/>
    <w:rsid w:val="0009306D"/>
    <w:rsid w:val="000A1995"/>
    <w:rsid w:val="000A29C3"/>
    <w:rsid w:val="000A5E73"/>
    <w:rsid w:val="000A6CD0"/>
    <w:rsid w:val="000B5E38"/>
    <w:rsid w:val="000C644F"/>
    <w:rsid w:val="000C721C"/>
    <w:rsid w:val="000D2E3C"/>
    <w:rsid w:val="000D5660"/>
    <w:rsid w:val="000E4DA3"/>
    <w:rsid w:val="000F0D64"/>
    <w:rsid w:val="000F5284"/>
    <w:rsid w:val="000F6752"/>
    <w:rsid w:val="000F6B41"/>
    <w:rsid w:val="0010048C"/>
    <w:rsid w:val="00102B8A"/>
    <w:rsid w:val="00104063"/>
    <w:rsid w:val="00111071"/>
    <w:rsid w:val="001142E0"/>
    <w:rsid w:val="00114E04"/>
    <w:rsid w:val="00115FE8"/>
    <w:rsid w:val="00116DC0"/>
    <w:rsid w:val="001228EC"/>
    <w:rsid w:val="00122ED2"/>
    <w:rsid w:val="00124FF4"/>
    <w:rsid w:val="00130FD7"/>
    <w:rsid w:val="00136006"/>
    <w:rsid w:val="00140DA9"/>
    <w:rsid w:val="00154E80"/>
    <w:rsid w:val="0016446A"/>
    <w:rsid w:val="0016771B"/>
    <w:rsid w:val="00170FB1"/>
    <w:rsid w:val="00172402"/>
    <w:rsid w:val="00173FF5"/>
    <w:rsid w:val="00181E97"/>
    <w:rsid w:val="001845AB"/>
    <w:rsid w:val="00185346"/>
    <w:rsid w:val="0019438E"/>
    <w:rsid w:val="001B0EDC"/>
    <w:rsid w:val="001B198A"/>
    <w:rsid w:val="001B256B"/>
    <w:rsid w:val="001B6D55"/>
    <w:rsid w:val="001D3821"/>
    <w:rsid w:val="001D39AC"/>
    <w:rsid w:val="001D5F2A"/>
    <w:rsid w:val="001D6A9E"/>
    <w:rsid w:val="001E1E52"/>
    <w:rsid w:val="001F1B01"/>
    <w:rsid w:val="001F2B17"/>
    <w:rsid w:val="001F4503"/>
    <w:rsid w:val="001F6015"/>
    <w:rsid w:val="002009C5"/>
    <w:rsid w:val="00202C36"/>
    <w:rsid w:val="00231604"/>
    <w:rsid w:val="002346C5"/>
    <w:rsid w:val="002368A0"/>
    <w:rsid w:val="0024492C"/>
    <w:rsid w:val="00253CA6"/>
    <w:rsid w:val="00261E77"/>
    <w:rsid w:val="00270D89"/>
    <w:rsid w:val="00275084"/>
    <w:rsid w:val="00283700"/>
    <w:rsid w:val="002842C3"/>
    <w:rsid w:val="00286452"/>
    <w:rsid w:val="00294035"/>
    <w:rsid w:val="002A2278"/>
    <w:rsid w:val="002A76C0"/>
    <w:rsid w:val="002C0878"/>
    <w:rsid w:val="002C1995"/>
    <w:rsid w:val="002C2760"/>
    <w:rsid w:val="002C2904"/>
    <w:rsid w:val="002C3ED8"/>
    <w:rsid w:val="002D0D5B"/>
    <w:rsid w:val="002D1CFF"/>
    <w:rsid w:val="002D68CA"/>
    <w:rsid w:val="002F4899"/>
    <w:rsid w:val="002F7035"/>
    <w:rsid w:val="002F737D"/>
    <w:rsid w:val="00312928"/>
    <w:rsid w:val="003171BB"/>
    <w:rsid w:val="00321FB9"/>
    <w:rsid w:val="00323D5F"/>
    <w:rsid w:val="0032779A"/>
    <w:rsid w:val="003305B8"/>
    <w:rsid w:val="00331CEB"/>
    <w:rsid w:val="00335079"/>
    <w:rsid w:val="00344FF7"/>
    <w:rsid w:val="003478BA"/>
    <w:rsid w:val="00353A4C"/>
    <w:rsid w:val="0038100B"/>
    <w:rsid w:val="00385086"/>
    <w:rsid w:val="00393B79"/>
    <w:rsid w:val="00395C00"/>
    <w:rsid w:val="003971B6"/>
    <w:rsid w:val="003A7B9E"/>
    <w:rsid w:val="003B523C"/>
    <w:rsid w:val="003B7693"/>
    <w:rsid w:val="003C04B6"/>
    <w:rsid w:val="003C4D8F"/>
    <w:rsid w:val="003D45B0"/>
    <w:rsid w:val="003E085D"/>
    <w:rsid w:val="003E112A"/>
    <w:rsid w:val="003E4A97"/>
    <w:rsid w:val="003E4CE6"/>
    <w:rsid w:val="003E4F61"/>
    <w:rsid w:val="003E6D4F"/>
    <w:rsid w:val="003F3FAF"/>
    <w:rsid w:val="003F46D6"/>
    <w:rsid w:val="004006C0"/>
    <w:rsid w:val="00401C1A"/>
    <w:rsid w:val="00402960"/>
    <w:rsid w:val="0041182F"/>
    <w:rsid w:val="0042633F"/>
    <w:rsid w:val="00432D03"/>
    <w:rsid w:val="00434049"/>
    <w:rsid w:val="004471EF"/>
    <w:rsid w:val="00447733"/>
    <w:rsid w:val="00450EC1"/>
    <w:rsid w:val="00457D0C"/>
    <w:rsid w:val="004621A1"/>
    <w:rsid w:val="00471B54"/>
    <w:rsid w:val="00484727"/>
    <w:rsid w:val="00490655"/>
    <w:rsid w:val="0049246C"/>
    <w:rsid w:val="00494E85"/>
    <w:rsid w:val="00495833"/>
    <w:rsid w:val="00496122"/>
    <w:rsid w:val="0049624D"/>
    <w:rsid w:val="00497B26"/>
    <w:rsid w:val="004A00BE"/>
    <w:rsid w:val="004A0C90"/>
    <w:rsid w:val="004A7E5D"/>
    <w:rsid w:val="004C2BEC"/>
    <w:rsid w:val="004C5FC2"/>
    <w:rsid w:val="004C6685"/>
    <w:rsid w:val="004E0096"/>
    <w:rsid w:val="004E1B7B"/>
    <w:rsid w:val="004F169A"/>
    <w:rsid w:val="004F1C77"/>
    <w:rsid w:val="004F3C46"/>
    <w:rsid w:val="004F3F78"/>
    <w:rsid w:val="004F5125"/>
    <w:rsid w:val="0050602E"/>
    <w:rsid w:val="00510F13"/>
    <w:rsid w:val="00514EA8"/>
    <w:rsid w:val="005177DE"/>
    <w:rsid w:val="00520FAC"/>
    <w:rsid w:val="0052132E"/>
    <w:rsid w:val="005278C1"/>
    <w:rsid w:val="005434CE"/>
    <w:rsid w:val="0054419B"/>
    <w:rsid w:val="005446BA"/>
    <w:rsid w:val="00545365"/>
    <w:rsid w:val="00550631"/>
    <w:rsid w:val="00554C9E"/>
    <w:rsid w:val="00554FF3"/>
    <w:rsid w:val="00574BFC"/>
    <w:rsid w:val="00576919"/>
    <w:rsid w:val="00580B87"/>
    <w:rsid w:val="00584D69"/>
    <w:rsid w:val="005879B9"/>
    <w:rsid w:val="00593AB4"/>
    <w:rsid w:val="005974FD"/>
    <w:rsid w:val="005A0657"/>
    <w:rsid w:val="005A1682"/>
    <w:rsid w:val="005A493F"/>
    <w:rsid w:val="005A5C11"/>
    <w:rsid w:val="005C09CB"/>
    <w:rsid w:val="005C308C"/>
    <w:rsid w:val="005D1553"/>
    <w:rsid w:val="005D2749"/>
    <w:rsid w:val="005D4C64"/>
    <w:rsid w:val="005E2C51"/>
    <w:rsid w:val="005E3749"/>
    <w:rsid w:val="005E38E2"/>
    <w:rsid w:val="005F181A"/>
    <w:rsid w:val="00605E26"/>
    <w:rsid w:val="006121D1"/>
    <w:rsid w:val="006135CA"/>
    <w:rsid w:val="00627D81"/>
    <w:rsid w:val="00631E66"/>
    <w:rsid w:val="00633A3E"/>
    <w:rsid w:val="006341EA"/>
    <w:rsid w:val="0064456E"/>
    <w:rsid w:val="00663470"/>
    <w:rsid w:val="006746A0"/>
    <w:rsid w:val="0067580B"/>
    <w:rsid w:val="00677003"/>
    <w:rsid w:val="006874FC"/>
    <w:rsid w:val="00690BE5"/>
    <w:rsid w:val="0069188E"/>
    <w:rsid w:val="006A0BBC"/>
    <w:rsid w:val="006A10AC"/>
    <w:rsid w:val="006A35C1"/>
    <w:rsid w:val="006A3603"/>
    <w:rsid w:val="006A3D4B"/>
    <w:rsid w:val="006A766A"/>
    <w:rsid w:val="006A7D29"/>
    <w:rsid w:val="006B2D19"/>
    <w:rsid w:val="006B53B4"/>
    <w:rsid w:val="006D65C9"/>
    <w:rsid w:val="006D6E55"/>
    <w:rsid w:val="006E378D"/>
    <w:rsid w:val="006E6AC9"/>
    <w:rsid w:val="006E711B"/>
    <w:rsid w:val="006F1D1E"/>
    <w:rsid w:val="006F33A2"/>
    <w:rsid w:val="00702E0A"/>
    <w:rsid w:val="00704731"/>
    <w:rsid w:val="0070751D"/>
    <w:rsid w:val="0070767B"/>
    <w:rsid w:val="0072067D"/>
    <w:rsid w:val="0072623D"/>
    <w:rsid w:val="00727715"/>
    <w:rsid w:val="00732FD1"/>
    <w:rsid w:val="0073484D"/>
    <w:rsid w:val="0075280C"/>
    <w:rsid w:val="007551E7"/>
    <w:rsid w:val="00755CA3"/>
    <w:rsid w:val="00757C8E"/>
    <w:rsid w:val="00762EA9"/>
    <w:rsid w:val="00774A71"/>
    <w:rsid w:val="007776EA"/>
    <w:rsid w:val="007819AC"/>
    <w:rsid w:val="0079332F"/>
    <w:rsid w:val="007955B4"/>
    <w:rsid w:val="007A7E37"/>
    <w:rsid w:val="007B06B8"/>
    <w:rsid w:val="007B0CD6"/>
    <w:rsid w:val="007C1037"/>
    <w:rsid w:val="007C343A"/>
    <w:rsid w:val="007C423A"/>
    <w:rsid w:val="007C7738"/>
    <w:rsid w:val="007E1210"/>
    <w:rsid w:val="007E5BBB"/>
    <w:rsid w:val="007F16A3"/>
    <w:rsid w:val="007F7459"/>
    <w:rsid w:val="00800895"/>
    <w:rsid w:val="00801967"/>
    <w:rsid w:val="00813AE3"/>
    <w:rsid w:val="00817D99"/>
    <w:rsid w:val="00822A48"/>
    <w:rsid w:val="0082409C"/>
    <w:rsid w:val="00834787"/>
    <w:rsid w:val="00834CC9"/>
    <w:rsid w:val="00844DC4"/>
    <w:rsid w:val="008508BD"/>
    <w:rsid w:val="00855EF6"/>
    <w:rsid w:val="008600E8"/>
    <w:rsid w:val="00866333"/>
    <w:rsid w:val="0088758E"/>
    <w:rsid w:val="008963C8"/>
    <w:rsid w:val="008A3CE3"/>
    <w:rsid w:val="008B6D1F"/>
    <w:rsid w:val="008D0DE0"/>
    <w:rsid w:val="008D29A5"/>
    <w:rsid w:val="008D434C"/>
    <w:rsid w:val="008D5996"/>
    <w:rsid w:val="008D6BA5"/>
    <w:rsid w:val="008D7D16"/>
    <w:rsid w:val="008E2509"/>
    <w:rsid w:val="008E38E5"/>
    <w:rsid w:val="008E5F41"/>
    <w:rsid w:val="008F07A0"/>
    <w:rsid w:val="008F7BCC"/>
    <w:rsid w:val="00901AA5"/>
    <w:rsid w:val="00910F8F"/>
    <w:rsid w:val="00913DD8"/>
    <w:rsid w:val="0092028B"/>
    <w:rsid w:val="009220B6"/>
    <w:rsid w:val="00922B76"/>
    <w:rsid w:val="0092319E"/>
    <w:rsid w:val="00927A66"/>
    <w:rsid w:val="00934929"/>
    <w:rsid w:val="0093595A"/>
    <w:rsid w:val="0095205F"/>
    <w:rsid w:val="0095259E"/>
    <w:rsid w:val="009579DC"/>
    <w:rsid w:val="00961422"/>
    <w:rsid w:val="00962074"/>
    <w:rsid w:val="0096681A"/>
    <w:rsid w:val="00985AEF"/>
    <w:rsid w:val="009B6910"/>
    <w:rsid w:val="009C20B0"/>
    <w:rsid w:val="009C45CC"/>
    <w:rsid w:val="009D331D"/>
    <w:rsid w:val="009D7BBF"/>
    <w:rsid w:val="009E3E22"/>
    <w:rsid w:val="009E6158"/>
    <w:rsid w:val="00A01CD8"/>
    <w:rsid w:val="00A125B0"/>
    <w:rsid w:val="00A13E18"/>
    <w:rsid w:val="00A14E52"/>
    <w:rsid w:val="00A16297"/>
    <w:rsid w:val="00A22917"/>
    <w:rsid w:val="00A30A89"/>
    <w:rsid w:val="00A35CC8"/>
    <w:rsid w:val="00A403F1"/>
    <w:rsid w:val="00A41DFC"/>
    <w:rsid w:val="00A4510B"/>
    <w:rsid w:val="00A5495D"/>
    <w:rsid w:val="00A54D2B"/>
    <w:rsid w:val="00A626BF"/>
    <w:rsid w:val="00A70FE2"/>
    <w:rsid w:val="00A73B7B"/>
    <w:rsid w:val="00A75D5C"/>
    <w:rsid w:val="00A82FDD"/>
    <w:rsid w:val="00A940B1"/>
    <w:rsid w:val="00A96A7E"/>
    <w:rsid w:val="00AB6305"/>
    <w:rsid w:val="00AC0865"/>
    <w:rsid w:val="00AC2CDF"/>
    <w:rsid w:val="00AC7C7D"/>
    <w:rsid w:val="00AD1ECB"/>
    <w:rsid w:val="00AE1D98"/>
    <w:rsid w:val="00AF4F20"/>
    <w:rsid w:val="00B075E7"/>
    <w:rsid w:val="00B0770F"/>
    <w:rsid w:val="00B16746"/>
    <w:rsid w:val="00B16834"/>
    <w:rsid w:val="00B25BE6"/>
    <w:rsid w:val="00B32A8C"/>
    <w:rsid w:val="00B54B16"/>
    <w:rsid w:val="00B551CD"/>
    <w:rsid w:val="00B559E7"/>
    <w:rsid w:val="00B63E9D"/>
    <w:rsid w:val="00B6529A"/>
    <w:rsid w:val="00B85BAE"/>
    <w:rsid w:val="00B901D6"/>
    <w:rsid w:val="00BB1FEC"/>
    <w:rsid w:val="00BB4566"/>
    <w:rsid w:val="00BE75B8"/>
    <w:rsid w:val="00BF03E4"/>
    <w:rsid w:val="00BF35F7"/>
    <w:rsid w:val="00BF4280"/>
    <w:rsid w:val="00BF5260"/>
    <w:rsid w:val="00BF55EA"/>
    <w:rsid w:val="00C01426"/>
    <w:rsid w:val="00C14C5A"/>
    <w:rsid w:val="00C248CC"/>
    <w:rsid w:val="00C25350"/>
    <w:rsid w:val="00C25DE4"/>
    <w:rsid w:val="00C25EB0"/>
    <w:rsid w:val="00C53BA3"/>
    <w:rsid w:val="00C64988"/>
    <w:rsid w:val="00C72189"/>
    <w:rsid w:val="00C75789"/>
    <w:rsid w:val="00C85EA1"/>
    <w:rsid w:val="00C92632"/>
    <w:rsid w:val="00CA74D9"/>
    <w:rsid w:val="00CA7695"/>
    <w:rsid w:val="00CB2195"/>
    <w:rsid w:val="00CB59AD"/>
    <w:rsid w:val="00CC45FE"/>
    <w:rsid w:val="00CC4964"/>
    <w:rsid w:val="00CE4664"/>
    <w:rsid w:val="00CE5A20"/>
    <w:rsid w:val="00CF1CC6"/>
    <w:rsid w:val="00D05A5A"/>
    <w:rsid w:val="00D10ECF"/>
    <w:rsid w:val="00D1363F"/>
    <w:rsid w:val="00D315D7"/>
    <w:rsid w:val="00D35BC3"/>
    <w:rsid w:val="00D441A1"/>
    <w:rsid w:val="00D44EEB"/>
    <w:rsid w:val="00D53BB3"/>
    <w:rsid w:val="00D56C53"/>
    <w:rsid w:val="00D648D3"/>
    <w:rsid w:val="00D70FDC"/>
    <w:rsid w:val="00D714CB"/>
    <w:rsid w:val="00D718DC"/>
    <w:rsid w:val="00D81D20"/>
    <w:rsid w:val="00D83AEB"/>
    <w:rsid w:val="00D90FA8"/>
    <w:rsid w:val="00D93B57"/>
    <w:rsid w:val="00D943FA"/>
    <w:rsid w:val="00D9739B"/>
    <w:rsid w:val="00D977A5"/>
    <w:rsid w:val="00D97A08"/>
    <w:rsid w:val="00DA1711"/>
    <w:rsid w:val="00DA3097"/>
    <w:rsid w:val="00DB171A"/>
    <w:rsid w:val="00DB5D32"/>
    <w:rsid w:val="00DC28D5"/>
    <w:rsid w:val="00DC5102"/>
    <w:rsid w:val="00DC6E13"/>
    <w:rsid w:val="00DD44E3"/>
    <w:rsid w:val="00DE1B12"/>
    <w:rsid w:val="00DE4CDC"/>
    <w:rsid w:val="00DF3C72"/>
    <w:rsid w:val="00DF796F"/>
    <w:rsid w:val="00E01A1E"/>
    <w:rsid w:val="00E01B7B"/>
    <w:rsid w:val="00E04558"/>
    <w:rsid w:val="00E07951"/>
    <w:rsid w:val="00E10432"/>
    <w:rsid w:val="00E300C4"/>
    <w:rsid w:val="00E30699"/>
    <w:rsid w:val="00E52B3F"/>
    <w:rsid w:val="00E53289"/>
    <w:rsid w:val="00E64896"/>
    <w:rsid w:val="00E715B5"/>
    <w:rsid w:val="00E81377"/>
    <w:rsid w:val="00E87BAB"/>
    <w:rsid w:val="00E913F0"/>
    <w:rsid w:val="00E95508"/>
    <w:rsid w:val="00E9734E"/>
    <w:rsid w:val="00EA367A"/>
    <w:rsid w:val="00EA7051"/>
    <w:rsid w:val="00ED2736"/>
    <w:rsid w:val="00EE03C9"/>
    <w:rsid w:val="00EE360D"/>
    <w:rsid w:val="00EE66B6"/>
    <w:rsid w:val="00EE6E8E"/>
    <w:rsid w:val="00EF3E26"/>
    <w:rsid w:val="00EF78CA"/>
    <w:rsid w:val="00F00259"/>
    <w:rsid w:val="00F002F2"/>
    <w:rsid w:val="00F1011A"/>
    <w:rsid w:val="00F12F69"/>
    <w:rsid w:val="00F165D9"/>
    <w:rsid w:val="00F17D2B"/>
    <w:rsid w:val="00F35FD6"/>
    <w:rsid w:val="00F364D2"/>
    <w:rsid w:val="00F4203C"/>
    <w:rsid w:val="00F53035"/>
    <w:rsid w:val="00F5661C"/>
    <w:rsid w:val="00F56636"/>
    <w:rsid w:val="00F754BC"/>
    <w:rsid w:val="00F762F7"/>
    <w:rsid w:val="00F77744"/>
    <w:rsid w:val="00F850B6"/>
    <w:rsid w:val="00F9466E"/>
    <w:rsid w:val="00F96EC4"/>
    <w:rsid w:val="00FA300E"/>
    <w:rsid w:val="00FA5777"/>
    <w:rsid w:val="00FB63FF"/>
    <w:rsid w:val="00FB6681"/>
    <w:rsid w:val="00FC1CFC"/>
    <w:rsid w:val="00FC4E42"/>
    <w:rsid w:val="00FC7628"/>
    <w:rsid w:val="00FD102D"/>
    <w:rsid w:val="00FD2921"/>
    <w:rsid w:val="00FD3AC3"/>
    <w:rsid w:val="00FF54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17F99"/>
  <w15:docId w15:val="{2A44DFD7-BFFA-44C3-A565-D715C429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40" w:after="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Times" w:hAnsi="Times"/>
      <w:sz w:val="20"/>
    </w:rPr>
  </w:style>
  <w:style w:type="paragraph" w:customStyle="1" w:styleId="Indent1">
    <w:name w:val="Indent 1"/>
    <w:basedOn w:val="Normal"/>
    <w:pPr>
      <w:spacing w:line="360" w:lineRule="auto"/>
      <w:ind w:left="737" w:hanging="737"/>
      <w:jc w:val="both"/>
    </w:pPr>
    <w:rPr>
      <w:rFonts w:ascii="Times" w:hAnsi="Times"/>
      <w:sz w:val="24"/>
    </w:rPr>
  </w:style>
  <w:style w:type="paragraph" w:customStyle="1" w:styleId="Mainheading">
    <w:name w:val="Main heading"/>
    <w:basedOn w:val="Normal"/>
    <w:pPr>
      <w:ind w:left="851" w:hanging="851"/>
      <w:jc w:val="center"/>
    </w:pPr>
    <w:rPr>
      <w:rFonts w:ascii="Times" w:hAnsi="Times"/>
      <w:b/>
      <w:sz w:val="28"/>
    </w:rPr>
  </w:style>
  <w:style w:type="paragraph" w:styleId="BalloonText">
    <w:name w:val="Balloon Text"/>
    <w:basedOn w:val="Normal"/>
    <w:semiHidden/>
    <w:rsid w:val="005974FD"/>
    <w:rPr>
      <w:rFonts w:ascii="Tahoma" w:hAnsi="Tahoma" w:cs="Tahoma"/>
      <w:sz w:val="16"/>
      <w:szCs w:val="16"/>
    </w:rPr>
  </w:style>
  <w:style w:type="paragraph" w:styleId="CommentSubject">
    <w:name w:val="annotation subject"/>
    <w:basedOn w:val="CommentText"/>
    <w:next w:val="CommentText"/>
    <w:semiHidden/>
    <w:rsid w:val="001F6015"/>
    <w:rPr>
      <w:b/>
      <w:bCs/>
    </w:rPr>
  </w:style>
  <w:style w:type="character" w:styleId="Hyperlink">
    <w:name w:val="Hyperlink"/>
    <w:uiPriority w:val="99"/>
    <w:rsid w:val="001F6015"/>
    <w:rPr>
      <w:color w:val="0000FF"/>
      <w:u w:val="single"/>
    </w:rPr>
  </w:style>
  <w:style w:type="paragraph" w:customStyle="1" w:styleId="Indent2">
    <w:name w:val="Indent 2"/>
    <w:basedOn w:val="Indent1"/>
    <w:rsid w:val="00FC1CFC"/>
    <w:pPr>
      <w:ind w:left="1304" w:hanging="567"/>
    </w:pPr>
  </w:style>
  <w:style w:type="paragraph" w:styleId="Caption">
    <w:name w:val="caption"/>
    <w:basedOn w:val="Normal"/>
    <w:next w:val="Normal"/>
    <w:qFormat/>
    <w:rsid w:val="00FC1CFC"/>
    <w:rPr>
      <w:b/>
      <w:bCs/>
    </w:rPr>
  </w:style>
  <w:style w:type="paragraph" w:customStyle="1" w:styleId="DefaultParagraphFontParaChar">
    <w:name w:val="Default Paragraph Font Para Char"/>
    <w:basedOn w:val="Normal"/>
    <w:autoRedefine/>
    <w:rsid w:val="00D83AEB"/>
    <w:pPr>
      <w:tabs>
        <w:tab w:val="left" w:pos="1134"/>
      </w:tabs>
      <w:spacing w:before="120" w:after="120"/>
      <w:jc w:val="both"/>
    </w:pPr>
    <w:rPr>
      <w:noProof/>
      <w:color w:val="000000"/>
    </w:rPr>
  </w:style>
  <w:style w:type="table" w:styleId="TableGrid">
    <w:name w:val="Table Grid"/>
    <w:basedOn w:val="TableNormal"/>
    <w:rsid w:val="00001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62EA9"/>
    <w:pPr>
      <w:widowControl w:val="0"/>
      <w:autoSpaceDE w:val="0"/>
      <w:autoSpaceDN w:val="0"/>
    </w:pPr>
    <w:rPr>
      <w:rFonts w:ascii="Arial" w:eastAsia="Arial" w:hAnsi="Arial" w:cs="Arial"/>
      <w:lang w:bidi="en-GB"/>
    </w:rPr>
  </w:style>
  <w:style w:type="character" w:customStyle="1" w:styleId="BodyTextChar">
    <w:name w:val="Body Text Char"/>
    <w:link w:val="BodyText"/>
    <w:uiPriority w:val="1"/>
    <w:rsid w:val="00762EA9"/>
    <w:rPr>
      <w:rFonts w:ascii="Arial" w:eastAsia="Arial" w:hAnsi="Arial" w:cs="Arial"/>
      <w:lang w:bidi="en-GB"/>
    </w:rPr>
  </w:style>
  <w:style w:type="paragraph" w:styleId="ListParagraph">
    <w:name w:val="List Paragraph"/>
    <w:basedOn w:val="Normal"/>
    <w:uiPriority w:val="1"/>
    <w:qFormat/>
    <w:rsid w:val="00762EA9"/>
    <w:pPr>
      <w:widowControl w:val="0"/>
      <w:autoSpaceDE w:val="0"/>
      <w:autoSpaceDN w:val="0"/>
      <w:ind w:left="716" w:hanging="302"/>
    </w:pPr>
    <w:rPr>
      <w:rFonts w:ascii="Arial" w:eastAsia="Arial" w:hAnsi="Arial" w:cs="Arial"/>
      <w:sz w:val="22"/>
      <w:szCs w:val="22"/>
      <w:lang w:bidi="en-GB"/>
    </w:rPr>
  </w:style>
  <w:style w:type="paragraph" w:styleId="ListNumber">
    <w:name w:val="List Number"/>
    <w:basedOn w:val="Normal"/>
    <w:rsid w:val="001F4503"/>
    <w:pPr>
      <w:numPr>
        <w:numId w:val="25"/>
      </w:numPr>
      <w:contextualSpacing/>
    </w:pPr>
  </w:style>
  <w:style w:type="paragraph" w:styleId="ListNumber2">
    <w:name w:val="List Number 2"/>
    <w:basedOn w:val="Normal"/>
    <w:rsid w:val="001F4503"/>
    <w:pPr>
      <w:numPr>
        <w:numId w:val="26"/>
      </w:numPr>
      <w:contextualSpacing/>
    </w:pPr>
  </w:style>
  <w:style w:type="paragraph" w:styleId="ListNumber3">
    <w:name w:val="List Number 3"/>
    <w:basedOn w:val="Normal"/>
    <w:rsid w:val="001F4503"/>
    <w:pPr>
      <w:numPr>
        <w:numId w:val="27"/>
      </w:numPr>
      <w:contextualSpacing/>
    </w:pPr>
  </w:style>
  <w:style w:type="paragraph" w:customStyle="1" w:styleId="TRLBodyText">
    <w:name w:val="TRL Body Text"/>
    <w:qFormat/>
    <w:rsid w:val="00985AEF"/>
    <w:pPr>
      <w:spacing w:after="120" w:line="280" w:lineRule="atLeast"/>
      <w:jc w:val="both"/>
    </w:pPr>
    <w:rPr>
      <w:rFonts w:ascii="Calibri" w:hAnsi="Calibri"/>
      <w:sz w:val="24"/>
      <w:lang w:eastAsia="zh-CN"/>
    </w:rPr>
  </w:style>
  <w:style w:type="paragraph" w:customStyle="1" w:styleId="Style1">
    <w:name w:val="Style1"/>
    <w:basedOn w:val="Normal"/>
    <w:link w:val="Style1Char"/>
    <w:qFormat/>
    <w:rsid w:val="0069188E"/>
    <w:pPr>
      <w:spacing w:before="120" w:after="120" w:line="360" w:lineRule="auto"/>
    </w:pPr>
    <w:rPr>
      <w:rFonts w:ascii="Arial" w:hAnsi="Arial"/>
      <w:sz w:val="24"/>
      <w:szCs w:val="24"/>
      <w:lang w:eastAsia="en-US"/>
    </w:rPr>
  </w:style>
  <w:style w:type="character" w:customStyle="1" w:styleId="Style1Char">
    <w:name w:val="Style1 Char"/>
    <w:link w:val="Style1"/>
    <w:rsid w:val="0069188E"/>
    <w:rPr>
      <w:rFonts w:ascii="Arial" w:hAnsi="Arial"/>
      <w:sz w:val="24"/>
      <w:szCs w:val="24"/>
      <w:lang w:eastAsia="en-US"/>
    </w:rPr>
  </w:style>
  <w:style w:type="character" w:styleId="UnresolvedMention">
    <w:name w:val="Unresolved Mention"/>
    <w:basedOn w:val="DefaultParagraphFont"/>
    <w:uiPriority w:val="99"/>
    <w:semiHidden/>
    <w:unhideWhenUsed/>
    <w:rsid w:val="00605E26"/>
    <w:rPr>
      <w:color w:val="605E5C"/>
      <w:shd w:val="clear" w:color="auto" w:fill="E1DFDD"/>
    </w:rPr>
  </w:style>
  <w:style w:type="character" w:styleId="FollowedHyperlink">
    <w:name w:val="FollowedHyperlink"/>
    <w:basedOn w:val="DefaultParagraphFont"/>
    <w:semiHidden/>
    <w:unhideWhenUsed/>
    <w:rsid w:val="008D7D16"/>
    <w:rPr>
      <w:color w:val="800080" w:themeColor="followedHyperlink"/>
      <w:u w:val="single"/>
    </w:rPr>
  </w:style>
  <w:style w:type="character" w:customStyle="1" w:styleId="normaltextrun">
    <w:name w:val="normaltextrun"/>
    <w:basedOn w:val="DefaultParagraphFont"/>
    <w:rsid w:val="004471EF"/>
  </w:style>
  <w:style w:type="character" w:customStyle="1" w:styleId="eop">
    <w:name w:val="eop"/>
    <w:basedOn w:val="DefaultParagraphFont"/>
    <w:rsid w:val="004471EF"/>
  </w:style>
  <w:style w:type="paragraph" w:styleId="Revision">
    <w:name w:val="Revision"/>
    <w:hidden/>
    <w:uiPriority w:val="99"/>
    <w:semiHidden/>
    <w:rsid w:val="006A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8811">
      <w:bodyDiv w:val="1"/>
      <w:marLeft w:val="0"/>
      <w:marRight w:val="0"/>
      <w:marTop w:val="0"/>
      <w:marBottom w:val="0"/>
      <w:divBdr>
        <w:top w:val="none" w:sz="0" w:space="0" w:color="auto"/>
        <w:left w:val="none" w:sz="0" w:space="0" w:color="auto"/>
        <w:bottom w:val="none" w:sz="0" w:space="0" w:color="auto"/>
        <w:right w:val="none" w:sz="0" w:space="0" w:color="auto"/>
      </w:divBdr>
    </w:div>
    <w:div w:id="365646171">
      <w:bodyDiv w:val="1"/>
      <w:marLeft w:val="0"/>
      <w:marRight w:val="0"/>
      <w:marTop w:val="0"/>
      <w:marBottom w:val="0"/>
      <w:divBdr>
        <w:top w:val="none" w:sz="0" w:space="0" w:color="auto"/>
        <w:left w:val="none" w:sz="0" w:space="0" w:color="auto"/>
        <w:bottom w:val="none" w:sz="0" w:space="0" w:color="auto"/>
        <w:right w:val="none" w:sz="0" w:space="0" w:color="auto"/>
      </w:divBdr>
    </w:div>
    <w:div w:id="964236592">
      <w:bodyDiv w:val="1"/>
      <w:marLeft w:val="0"/>
      <w:marRight w:val="0"/>
      <w:marTop w:val="0"/>
      <w:marBottom w:val="0"/>
      <w:divBdr>
        <w:top w:val="none" w:sz="0" w:space="0" w:color="auto"/>
        <w:left w:val="none" w:sz="0" w:space="0" w:color="auto"/>
        <w:bottom w:val="none" w:sz="0" w:space="0" w:color="auto"/>
        <w:right w:val="none" w:sz="0" w:space="0" w:color="auto"/>
      </w:divBdr>
    </w:div>
    <w:div w:id="1194421872">
      <w:bodyDiv w:val="1"/>
      <w:marLeft w:val="0"/>
      <w:marRight w:val="0"/>
      <w:marTop w:val="0"/>
      <w:marBottom w:val="0"/>
      <w:divBdr>
        <w:top w:val="none" w:sz="0" w:space="0" w:color="auto"/>
        <w:left w:val="none" w:sz="0" w:space="0" w:color="auto"/>
        <w:bottom w:val="none" w:sz="0" w:space="0" w:color="auto"/>
        <w:right w:val="none" w:sz="0" w:space="0" w:color="auto"/>
      </w:divBdr>
    </w:div>
    <w:div w:id="1312754377">
      <w:bodyDiv w:val="1"/>
      <w:marLeft w:val="0"/>
      <w:marRight w:val="0"/>
      <w:marTop w:val="0"/>
      <w:marBottom w:val="0"/>
      <w:divBdr>
        <w:top w:val="none" w:sz="0" w:space="0" w:color="auto"/>
        <w:left w:val="none" w:sz="0" w:space="0" w:color="auto"/>
        <w:bottom w:val="none" w:sz="0" w:space="0" w:color="auto"/>
        <w:right w:val="none" w:sz="0" w:space="0" w:color="auto"/>
      </w:divBdr>
    </w:div>
    <w:div w:id="1813937208">
      <w:bodyDiv w:val="1"/>
      <w:marLeft w:val="0"/>
      <w:marRight w:val="0"/>
      <w:marTop w:val="0"/>
      <w:marBottom w:val="0"/>
      <w:divBdr>
        <w:top w:val="none" w:sz="0" w:space="0" w:color="auto"/>
        <w:left w:val="none" w:sz="0" w:space="0" w:color="auto"/>
        <w:bottom w:val="none" w:sz="0" w:space="0" w:color="auto"/>
        <w:right w:val="none" w:sz="0" w:space="0" w:color="auto"/>
      </w:divBdr>
    </w:div>
    <w:div w:id="2070954617">
      <w:bodyDiv w:val="1"/>
      <w:marLeft w:val="0"/>
      <w:marRight w:val="0"/>
      <w:marTop w:val="0"/>
      <w:marBottom w:val="0"/>
      <w:divBdr>
        <w:top w:val="none" w:sz="0" w:space="0" w:color="auto"/>
        <w:left w:val="none" w:sz="0" w:space="0" w:color="auto"/>
        <w:bottom w:val="none" w:sz="0" w:space="0" w:color="auto"/>
        <w:right w:val="none" w:sz="0" w:space="0" w:color="auto"/>
      </w:divBdr>
    </w:div>
    <w:div w:id="21357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qm.defra.gov.uk/wp-content/uploads/2022/08/LAQM-TG22-August-22-v1.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rldefense.com/v3/__https:/www.airqualityhub.co.uk/__;!!NslPjgbbnDqexg!MXTUha1QykUYf0og4I4_zSWMMJDkhmcHPxc3x4W8XkXoMKzCv8tAN2zNiACPqkig36lkhRXriv2KN5uX5-XZ1-YTNio7WOXmZGgwzUI$" TargetMode="External"/><Relationship Id="rId4" Type="http://schemas.openxmlformats.org/officeDocument/2006/relationships/settings" Target="settings.xml"/><Relationship Id="rId9" Type="http://schemas.openxmlformats.org/officeDocument/2006/relationships/hyperlink" Target="https://laqm.defra.gov.uk/faqs/faq-142-three-or-more-years-of-compliance-with-air-quality-objectiv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AFA98B1-5720-453C-BE06-04BCA5EF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1672</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USA Checklist 2009</vt:lpstr>
    </vt:vector>
  </TitlesOfParts>
  <Company>Review and Assessment Helpdesk</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Checklist 2009</dc:title>
  <dc:creator>Pitman, Roger</dc:creator>
  <cp:lastModifiedBy>Nancarrow, Max</cp:lastModifiedBy>
  <cp:revision>3</cp:revision>
  <cp:lastPrinted>2003-05-02T10:09:00Z</cp:lastPrinted>
  <dcterms:created xsi:type="dcterms:W3CDTF">2025-07-30T09:39:00Z</dcterms:created>
  <dcterms:modified xsi:type="dcterms:W3CDTF">2025-07-30T09:39:00Z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10edb9-2b8d-40d3-bf31-cf780319a0a0_Enabled">
    <vt:lpwstr>true</vt:lpwstr>
  </property>
  <property fmtid="{D5CDD505-2E9C-101B-9397-08002B2CF9AE}" pid="3" name="MSIP_Label_7b10edb9-2b8d-40d3-bf31-cf780319a0a0_SetDate">
    <vt:lpwstr>2024-08-23T13:25:45Z</vt:lpwstr>
  </property>
  <property fmtid="{D5CDD505-2E9C-101B-9397-08002B2CF9AE}" pid="4" name="MSIP_Label_7b10edb9-2b8d-40d3-bf31-cf780319a0a0_Method">
    <vt:lpwstr>Privileged</vt:lpwstr>
  </property>
  <property fmtid="{D5CDD505-2E9C-101B-9397-08002B2CF9AE}" pid="5" name="MSIP_Label_7b10edb9-2b8d-40d3-bf31-cf780319a0a0_Name">
    <vt:lpwstr>C1 - Public</vt:lpwstr>
  </property>
  <property fmtid="{D5CDD505-2E9C-101B-9397-08002B2CF9AE}" pid="6" name="MSIP_Label_7b10edb9-2b8d-40d3-bf31-cf780319a0a0_SiteId">
    <vt:lpwstr>fffad414-b6a3-4f32-a9bd-42d28fc811f1</vt:lpwstr>
  </property>
  <property fmtid="{D5CDD505-2E9C-101B-9397-08002B2CF9AE}" pid="7" name="MSIP_Label_7b10edb9-2b8d-40d3-bf31-cf780319a0a0_ActionId">
    <vt:lpwstr>80b3faa8-5c62-41f1-8b6d-89556a2aa7d8</vt:lpwstr>
  </property>
  <property fmtid="{D5CDD505-2E9C-101B-9397-08002B2CF9AE}" pid="8" name="MSIP_Label_7b10edb9-2b8d-40d3-bf31-cf780319a0a0_ContentBits">
    <vt:lpwstr>0</vt:lpwstr>
  </property>
</Properties>
</file>