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8E78" w14:textId="43D5CBF1" w:rsidR="00255F05" w:rsidRDefault="00255F05" w:rsidP="00255F05">
      <w:pPr>
        <w:rPr>
          <w:rFonts w:ascii="Arial" w:hAnsi="Arial" w:cs="Arial"/>
          <w:sz w:val="48"/>
          <w:szCs w:val="48"/>
        </w:rPr>
      </w:pPr>
      <w:r w:rsidRPr="00255F05">
        <w:rPr>
          <w:rFonts w:ascii="Arial" w:hAnsi="Arial" w:cs="Arial"/>
          <w:sz w:val="48"/>
          <w:szCs w:val="48"/>
        </w:rPr>
        <w:t xml:space="preserve">Consultation on further changes to </w:t>
      </w:r>
      <w:r>
        <w:rPr>
          <w:rFonts w:ascii="Arial" w:hAnsi="Arial" w:cs="Arial"/>
          <w:sz w:val="48"/>
          <w:szCs w:val="48"/>
        </w:rPr>
        <w:t>S</w:t>
      </w:r>
      <w:r w:rsidRPr="00255F05">
        <w:rPr>
          <w:rFonts w:ascii="Arial" w:hAnsi="Arial" w:cs="Arial"/>
          <w:sz w:val="48"/>
          <w:szCs w:val="48"/>
        </w:rPr>
        <w:t xml:space="preserve">exual </w:t>
      </w:r>
      <w:r>
        <w:rPr>
          <w:rFonts w:ascii="Arial" w:hAnsi="Arial" w:cs="Arial"/>
          <w:sz w:val="48"/>
          <w:szCs w:val="48"/>
        </w:rPr>
        <w:t>E</w:t>
      </w:r>
      <w:r w:rsidRPr="00255F05">
        <w:rPr>
          <w:rFonts w:ascii="Arial" w:hAnsi="Arial" w:cs="Arial"/>
          <w:sz w:val="48"/>
          <w:szCs w:val="48"/>
        </w:rPr>
        <w:t xml:space="preserve">ntertainment </w:t>
      </w:r>
      <w:r>
        <w:rPr>
          <w:rFonts w:ascii="Arial" w:hAnsi="Arial" w:cs="Arial"/>
          <w:sz w:val="48"/>
          <w:szCs w:val="48"/>
        </w:rPr>
        <w:t>V</w:t>
      </w:r>
      <w:r w:rsidRPr="00255F05">
        <w:rPr>
          <w:rFonts w:ascii="Arial" w:hAnsi="Arial" w:cs="Arial"/>
          <w:sz w:val="48"/>
          <w:szCs w:val="48"/>
        </w:rPr>
        <w:t xml:space="preserve">enue </w:t>
      </w:r>
      <w:r>
        <w:rPr>
          <w:rFonts w:ascii="Arial" w:hAnsi="Arial" w:cs="Arial"/>
          <w:sz w:val="48"/>
          <w:szCs w:val="48"/>
        </w:rPr>
        <w:t>L</w:t>
      </w:r>
      <w:r w:rsidRPr="00255F05">
        <w:rPr>
          <w:rFonts w:ascii="Arial" w:hAnsi="Arial" w:cs="Arial"/>
          <w:sz w:val="48"/>
          <w:szCs w:val="48"/>
        </w:rPr>
        <w:t>icensing policy</w:t>
      </w:r>
    </w:p>
    <w:p w14:paraId="3922FB3F" w14:textId="75E5F10F" w:rsidR="00255F05" w:rsidRDefault="00255F05" w:rsidP="00A77D70">
      <w:pPr>
        <w:pStyle w:val="Heading1"/>
      </w:pPr>
      <w:r>
        <w:t>Background</w:t>
      </w:r>
    </w:p>
    <w:p w14:paraId="18ABE5D0" w14:textId="5B946F1F" w:rsidR="005951A8" w:rsidRDefault="00255F05" w:rsidP="00DA348C">
      <w:r>
        <w:t xml:space="preserve">In </w:t>
      </w:r>
      <w:r w:rsidR="00A33B10">
        <w:t>March</w:t>
      </w:r>
      <w:r>
        <w:t xml:space="preserve"> the authority consulted on proposed changes to its </w:t>
      </w:r>
      <w:r w:rsidRPr="00255F05">
        <w:t>Sexual Entertainment Venue Licensing policy</w:t>
      </w:r>
      <w:r>
        <w:t xml:space="preserve">.  The outcome of this consultation was considered by the authority’s Cabinet in September.  Following the </w:t>
      </w:r>
      <w:hyperlink r:id="rId7" w:history="1">
        <w:r w:rsidRPr="00DA348C">
          <w:rPr>
            <w:rStyle w:val="Hyperlink"/>
          </w:rPr>
          <w:t>September Cabinet meeting</w:t>
        </w:r>
      </w:hyperlink>
      <w:r>
        <w:t xml:space="preserve">, and </w:t>
      </w:r>
      <w:r w:rsidR="005951A8">
        <w:t>considering</w:t>
      </w:r>
      <w:r>
        <w:t xml:space="preserve"> the consultation feedback, further proposed ch</w:t>
      </w:r>
      <w:r w:rsidR="005951A8">
        <w:t xml:space="preserve">anges to the policy </w:t>
      </w:r>
      <w:r w:rsidR="00E93B4D">
        <w:t>have been</w:t>
      </w:r>
      <w:r w:rsidR="005951A8">
        <w:t xml:space="preserve"> proposed</w:t>
      </w:r>
      <w:r w:rsidR="00DA348C">
        <w:t xml:space="preserve"> </w:t>
      </w:r>
      <w:r w:rsidR="005951A8">
        <w:t xml:space="preserve">that is the subject of this </w:t>
      </w:r>
      <w:r w:rsidR="00DA348C">
        <w:t xml:space="preserve">further </w:t>
      </w:r>
      <w:r w:rsidR="005951A8">
        <w:t>consultation.</w:t>
      </w:r>
    </w:p>
    <w:tbl>
      <w:tblPr>
        <w:tblStyle w:val="TableGrid"/>
        <w:tblW w:w="0" w:type="auto"/>
        <w:tblLook w:val="04A0" w:firstRow="1" w:lastRow="0" w:firstColumn="1" w:lastColumn="0" w:noHBand="0" w:noVBand="1"/>
      </w:tblPr>
      <w:tblGrid>
        <w:gridCol w:w="9016"/>
      </w:tblGrid>
      <w:tr w:rsidR="00CE570C" w14:paraId="3BFBB1BC" w14:textId="77777777" w:rsidTr="00DC593F">
        <w:tc>
          <w:tcPr>
            <w:tcW w:w="9016" w:type="dxa"/>
            <w:shd w:val="clear" w:color="auto" w:fill="95DCF7" w:themeFill="accent4" w:themeFillTint="66"/>
          </w:tcPr>
          <w:p w14:paraId="1642F7A9" w14:textId="77777777" w:rsidR="00CE570C" w:rsidRDefault="00CE570C" w:rsidP="00DC593F">
            <w:pPr>
              <w:rPr>
                <w:b/>
                <w:bCs/>
                <w:sz w:val="28"/>
                <w:szCs w:val="28"/>
              </w:rPr>
            </w:pPr>
            <w:r w:rsidRPr="00CE014E">
              <w:rPr>
                <w:b/>
                <w:bCs/>
                <w:sz w:val="28"/>
                <w:szCs w:val="28"/>
              </w:rPr>
              <w:t>About You</w:t>
            </w:r>
          </w:p>
          <w:p w14:paraId="2223C9E4" w14:textId="77777777" w:rsidR="00CE570C" w:rsidRDefault="00CE570C" w:rsidP="00DC593F">
            <w:pPr>
              <w:rPr>
                <w:rFonts w:ascii="Arial" w:hAnsi="Arial" w:cs="Arial"/>
              </w:rPr>
            </w:pPr>
          </w:p>
          <w:p w14:paraId="5204EBD8" w14:textId="77777777" w:rsidR="00CE570C" w:rsidRPr="00CE014E" w:rsidRDefault="00CE570C" w:rsidP="00DC593F">
            <w:pPr>
              <w:rPr>
                <w:rFonts w:ascii="Arial" w:hAnsi="Arial" w:cs="Arial"/>
              </w:rPr>
            </w:pPr>
            <w:r w:rsidRPr="00CE014E">
              <w:rPr>
                <w:rFonts w:ascii="Arial" w:hAnsi="Arial" w:cs="Arial"/>
              </w:rPr>
              <w:t xml:space="preserve">Name (optional): </w:t>
            </w:r>
            <w:r>
              <w:rPr>
                <w:rFonts w:ascii="Arial" w:hAnsi="Arial" w:cs="Arial"/>
              </w:rPr>
              <w:t>_______________________________________</w:t>
            </w:r>
          </w:p>
          <w:p w14:paraId="21D8AA44" w14:textId="77777777" w:rsidR="00CE570C" w:rsidRDefault="00CE570C" w:rsidP="00DC593F"/>
          <w:p w14:paraId="1008C2A8" w14:textId="77777777" w:rsidR="00CE570C" w:rsidRDefault="00CE570C" w:rsidP="00DC593F">
            <w:pPr>
              <w:rPr>
                <w:rFonts w:ascii="Arial" w:hAnsi="Arial" w:cs="Arial"/>
              </w:rPr>
            </w:pPr>
            <w:r w:rsidRPr="004F4613">
              <w:rPr>
                <w:rFonts w:ascii="Arial" w:hAnsi="Arial" w:cs="Arial"/>
              </w:rPr>
              <w:t>Which best describes the capacity in which you are responding to this consultation</w:t>
            </w:r>
            <w:r>
              <w:rPr>
                <w:rFonts w:ascii="Arial" w:hAnsi="Arial" w:cs="Arial"/>
              </w:rPr>
              <w:t xml:space="preserve"> </w:t>
            </w:r>
            <w:r w:rsidRPr="00CE014E">
              <w:rPr>
                <w:rFonts w:ascii="Arial" w:hAnsi="Arial" w:cs="Arial"/>
              </w:rPr>
              <w:t>(</w:t>
            </w:r>
            <w:r w:rsidRPr="00E03A05">
              <w:rPr>
                <w:rFonts w:ascii="Arial" w:hAnsi="Arial" w:cs="Arial"/>
                <w:b/>
                <w:bCs/>
              </w:rPr>
              <w:t>required</w:t>
            </w:r>
            <w:r w:rsidRPr="00CE014E">
              <w:rPr>
                <w:rFonts w:ascii="Arial" w:hAnsi="Arial" w:cs="Arial"/>
              </w:rPr>
              <w:t>)</w:t>
            </w:r>
            <w:r w:rsidRPr="004F4613">
              <w:rPr>
                <w:rFonts w:ascii="Arial" w:hAnsi="Arial" w:cs="Arial"/>
              </w:rPr>
              <w:t>:</w:t>
            </w:r>
          </w:p>
          <w:p w14:paraId="3B20533D" w14:textId="77777777" w:rsidR="00CE570C" w:rsidRPr="004F4613" w:rsidRDefault="00CE570C" w:rsidP="00DC593F">
            <w:pPr>
              <w:rPr>
                <w:rFonts w:ascii="Arial" w:hAnsi="Arial" w:cs="Arial"/>
              </w:rPr>
            </w:pPr>
          </w:p>
          <w:p w14:paraId="62262B71"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 </w:t>
            </w:r>
            <w:r>
              <w:rPr>
                <w:rFonts w:ascii="Arial" w:hAnsi="Arial" w:cs="Arial"/>
              </w:rPr>
              <w:t>c</w:t>
            </w:r>
            <w:r w:rsidRPr="004F4613">
              <w:rPr>
                <w:rFonts w:ascii="Arial" w:hAnsi="Arial" w:cs="Arial"/>
              </w:rPr>
              <w:t>ouncillor</w:t>
            </w:r>
            <w:r>
              <w:rPr>
                <w:rFonts w:ascii="Arial" w:hAnsi="Arial" w:cs="Arial"/>
              </w:rPr>
              <w:t>/committee</w:t>
            </w:r>
          </w:p>
          <w:p w14:paraId="6D5D778C" w14:textId="77777777" w:rsidR="00CE570C" w:rsidRPr="004F4613"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w:t>
            </w:r>
            <w:r>
              <w:rPr>
                <w:rFonts w:ascii="Arial" w:hAnsi="Arial" w:cs="Arial"/>
              </w:rPr>
              <w:t xml:space="preserve"> Member of Parliament </w:t>
            </w:r>
          </w:p>
          <w:p w14:paraId="35C02C79"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 </w:t>
            </w:r>
            <w:r>
              <w:rPr>
                <w:rFonts w:ascii="Arial" w:hAnsi="Arial" w:cs="Arial"/>
              </w:rPr>
              <w:t>r</w:t>
            </w:r>
            <w:r w:rsidRPr="004F4613">
              <w:rPr>
                <w:rFonts w:ascii="Arial" w:hAnsi="Arial" w:cs="Arial"/>
              </w:rPr>
              <w:t>esident</w:t>
            </w:r>
            <w:r>
              <w:rPr>
                <w:rFonts w:ascii="Arial" w:hAnsi="Arial" w:cs="Arial"/>
              </w:rPr>
              <w:t xml:space="preserve"> of Cheltenham</w:t>
            </w:r>
          </w:p>
          <w:p w14:paraId="2876E61D" w14:textId="77777777" w:rsidR="00CE570C" w:rsidRPr="004F4613"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 </w:t>
            </w:r>
            <w:r>
              <w:rPr>
                <w:rFonts w:ascii="Arial" w:hAnsi="Arial" w:cs="Arial"/>
              </w:rPr>
              <w:t>r</w:t>
            </w:r>
            <w:r w:rsidRPr="004F4613">
              <w:rPr>
                <w:rFonts w:ascii="Arial" w:hAnsi="Arial" w:cs="Arial"/>
              </w:rPr>
              <w:t>esident</w:t>
            </w:r>
            <w:r>
              <w:rPr>
                <w:rFonts w:ascii="Arial" w:hAnsi="Arial" w:cs="Arial"/>
              </w:rPr>
              <w:t xml:space="preserve"> not of Cheltenham</w:t>
            </w:r>
          </w:p>
          <w:p w14:paraId="7466BD4D" w14:textId="77777777" w:rsidR="00CE570C" w:rsidRPr="004F4613"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 </w:t>
            </w:r>
            <w:r>
              <w:rPr>
                <w:rFonts w:ascii="Arial" w:hAnsi="Arial" w:cs="Arial"/>
              </w:rPr>
              <w:t>p</w:t>
            </w:r>
            <w:r w:rsidRPr="004F4613">
              <w:rPr>
                <w:rFonts w:ascii="Arial" w:hAnsi="Arial" w:cs="Arial"/>
              </w:rPr>
              <w:t>erformer</w:t>
            </w:r>
          </w:p>
          <w:p w14:paraId="247919DA"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 </w:t>
            </w:r>
            <w:r>
              <w:rPr>
                <w:rFonts w:ascii="Arial" w:hAnsi="Arial" w:cs="Arial"/>
              </w:rPr>
              <w:t>sexual entertainment venue</w:t>
            </w:r>
            <w:r w:rsidRPr="004F4613">
              <w:rPr>
                <w:rFonts w:ascii="Arial" w:hAnsi="Arial" w:cs="Arial"/>
              </w:rPr>
              <w:t xml:space="preserve"> </w:t>
            </w:r>
            <w:r>
              <w:rPr>
                <w:rFonts w:ascii="Arial" w:hAnsi="Arial" w:cs="Arial"/>
              </w:rPr>
              <w:t>o</w:t>
            </w:r>
            <w:r w:rsidRPr="004F4613">
              <w:rPr>
                <w:rFonts w:ascii="Arial" w:hAnsi="Arial" w:cs="Arial"/>
              </w:rPr>
              <w:t>perator/</w:t>
            </w:r>
            <w:r>
              <w:rPr>
                <w:rFonts w:ascii="Arial" w:hAnsi="Arial" w:cs="Arial"/>
              </w:rPr>
              <w:t>l</w:t>
            </w:r>
            <w:r w:rsidRPr="004F4613">
              <w:rPr>
                <w:rFonts w:ascii="Arial" w:hAnsi="Arial" w:cs="Arial"/>
              </w:rPr>
              <w:t xml:space="preserve">icensee </w:t>
            </w:r>
          </w:p>
          <w:p w14:paraId="54E182CE" w14:textId="77777777" w:rsidR="00CE570C" w:rsidRPr="004F4613"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 </w:t>
            </w:r>
            <w:r>
              <w:rPr>
                <w:rFonts w:ascii="Arial" w:hAnsi="Arial" w:cs="Arial"/>
              </w:rPr>
              <w:t>customer of sexual entertainment venues in Cheltenham</w:t>
            </w:r>
          </w:p>
          <w:p w14:paraId="6A640508"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w:t>
            </w:r>
            <w:r>
              <w:rPr>
                <w:rFonts w:ascii="Arial" w:hAnsi="Arial" w:cs="Arial"/>
              </w:rPr>
              <w:t xml:space="preserve"> licence holder (bars, clubs etc)</w:t>
            </w:r>
          </w:p>
          <w:p w14:paraId="1A21E8D6"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w:t>
            </w:r>
            <w:r>
              <w:rPr>
                <w:rFonts w:ascii="Arial" w:hAnsi="Arial" w:cs="Arial"/>
              </w:rPr>
              <w:t xml:space="preserve"> non-licensed/other business in Cheltenham</w:t>
            </w:r>
          </w:p>
          <w:p w14:paraId="21EE26EC"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w:t>
            </w:r>
            <w:r>
              <w:rPr>
                <w:rFonts w:ascii="Arial" w:hAnsi="Arial" w:cs="Arial"/>
              </w:rPr>
              <w:t xml:space="preserve"> statutory body (police, OPCC, council departments, NHS etc.)</w:t>
            </w:r>
          </w:p>
          <w:p w14:paraId="4857E2A8"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w:t>
            </w:r>
            <w:r>
              <w:rPr>
                <w:rFonts w:ascii="Arial" w:hAnsi="Arial" w:cs="Arial"/>
              </w:rPr>
              <w:t>n advocacy or other group/organisation that promotes equality or other social issues/values (i.e. VAWG, gender equality etc.)</w:t>
            </w:r>
          </w:p>
          <w:p w14:paraId="6E9F2656"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w:t>
            </w:r>
            <w:r>
              <w:rPr>
                <w:rFonts w:ascii="Arial" w:hAnsi="Arial" w:cs="Arial"/>
              </w:rPr>
              <w:t xml:space="preserve"> support service/organisation (commissioned or otherwise) </w:t>
            </w:r>
          </w:p>
          <w:p w14:paraId="6A8EB33E" w14:textId="77777777" w:rsidR="00CE570C" w:rsidRDefault="00CE570C" w:rsidP="00DC593F">
            <w:pPr>
              <w:ind w:left="22"/>
              <w:rPr>
                <w:rFonts w:ascii="Arial" w:hAnsi="Arial" w:cs="Arial"/>
              </w:rPr>
            </w:pPr>
            <w:r w:rsidRPr="004F4613">
              <w:rPr>
                <w:rFonts w:ascii="Arial" w:hAnsi="Arial" w:cs="Arial"/>
              </w:rPr>
              <w:sym w:font="Wingdings" w:char="F06F"/>
            </w:r>
            <w:r w:rsidRPr="004F4613">
              <w:rPr>
                <w:rFonts w:ascii="Arial" w:hAnsi="Arial" w:cs="Arial"/>
              </w:rPr>
              <w:t xml:space="preserve"> A</w:t>
            </w:r>
            <w:r>
              <w:rPr>
                <w:rFonts w:ascii="Arial" w:hAnsi="Arial" w:cs="Arial"/>
              </w:rPr>
              <w:t xml:space="preserve"> religious organisation, group or body </w:t>
            </w:r>
          </w:p>
          <w:p w14:paraId="7F7F310E" w14:textId="77777777" w:rsidR="00CE570C" w:rsidRDefault="00CE570C" w:rsidP="00DC593F">
            <w:pPr>
              <w:rPr>
                <w:rFonts w:ascii="Arial" w:hAnsi="Arial" w:cs="Arial"/>
              </w:rPr>
            </w:pPr>
            <w:r w:rsidRPr="004F4613">
              <w:rPr>
                <w:rFonts w:ascii="Arial" w:hAnsi="Arial" w:cs="Arial"/>
              </w:rPr>
              <w:sym w:font="Wingdings" w:char="F06F"/>
            </w:r>
            <w:r>
              <w:rPr>
                <w:rFonts w:ascii="Arial" w:hAnsi="Arial" w:cs="Arial"/>
              </w:rPr>
              <w:t xml:space="preserve"> Other not specified (please specify)</w:t>
            </w:r>
            <w:r w:rsidRPr="00CE014E">
              <w:rPr>
                <w:rFonts w:ascii="Arial" w:hAnsi="Arial" w:cs="Arial"/>
              </w:rPr>
              <w:t xml:space="preserve">: </w:t>
            </w:r>
            <w:r>
              <w:rPr>
                <w:rFonts w:ascii="Arial" w:hAnsi="Arial" w:cs="Arial"/>
              </w:rPr>
              <w:t>_______________________________________</w:t>
            </w:r>
          </w:p>
          <w:p w14:paraId="4D89D6A1" w14:textId="77777777" w:rsidR="00CE570C" w:rsidRDefault="00CE570C" w:rsidP="00DC593F">
            <w:pPr>
              <w:rPr>
                <w:rFonts w:ascii="Arial" w:hAnsi="Arial" w:cs="Arial"/>
              </w:rPr>
            </w:pPr>
          </w:p>
        </w:tc>
      </w:tr>
    </w:tbl>
    <w:p w14:paraId="2855EB4B" w14:textId="7CD7F7EF" w:rsidR="005951A8" w:rsidRDefault="005951A8" w:rsidP="005951A8">
      <w:pPr>
        <w:pStyle w:val="Heading1"/>
      </w:pPr>
      <w:r>
        <w:t>Proposed changes</w:t>
      </w:r>
    </w:p>
    <w:p w14:paraId="5696FA85" w14:textId="13D2DA93" w:rsidR="005951A8" w:rsidRDefault="005951A8" w:rsidP="005951A8">
      <w:pPr>
        <w:pStyle w:val="Heading2"/>
      </w:pPr>
      <w:r>
        <w:t>“Permitted Area”</w:t>
      </w:r>
    </w:p>
    <w:p w14:paraId="7FDBC5ED" w14:textId="0F7EF09A" w:rsidR="005951A8" w:rsidRDefault="005951A8" w:rsidP="005951A8">
      <w:r w:rsidRPr="005951A8">
        <w:t>In deciding the appropriate number of premises to be licensed, the authority must consider the character of the relevant locality and what is the appropriate number of SEVs for the relevant locality. The number can be ‘nil’.</w:t>
      </w:r>
    </w:p>
    <w:p w14:paraId="6EF82C8C" w14:textId="43C78C06" w:rsidR="005951A8" w:rsidRPr="005951A8" w:rsidRDefault="005951A8" w:rsidP="005951A8">
      <w:r>
        <w:t>T</w:t>
      </w:r>
      <w:r w:rsidRPr="005951A8">
        <w:t>he authority’s existing licensing policy sets two relevant localities: </w:t>
      </w:r>
    </w:p>
    <w:p w14:paraId="41D1DF03" w14:textId="7C59C8E0" w:rsidR="005951A8" w:rsidRPr="005951A8" w:rsidRDefault="005951A8" w:rsidP="005951A8">
      <w:pPr>
        <w:numPr>
          <w:ilvl w:val="0"/>
          <w:numId w:val="2"/>
        </w:numPr>
      </w:pPr>
      <w:r w:rsidRPr="005951A8">
        <w:t>An adopted “</w:t>
      </w:r>
      <w:hyperlink r:id="rId8" w:history="1">
        <w:r w:rsidRPr="00A33B10">
          <w:rPr>
            <w:rStyle w:val="Hyperlink"/>
          </w:rPr>
          <w:t>Designated Permitted Area</w:t>
        </w:r>
      </w:hyperlink>
      <w:r w:rsidRPr="005951A8">
        <w:t>”</w:t>
      </w:r>
      <w:r w:rsidR="00A33B10">
        <w:t xml:space="preserve"> (page 11) </w:t>
      </w:r>
      <w:r w:rsidRPr="005951A8">
        <w:t>where the policy sets no limit on the number of licensed SEVs; and  </w:t>
      </w:r>
    </w:p>
    <w:p w14:paraId="2B653C26" w14:textId="77777777" w:rsidR="005951A8" w:rsidRPr="005951A8" w:rsidRDefault="005951A8" w:rsidP="005951A8">
      <w:pPr>
        <w:numPr>
          <w:ilvl w:val="0"/>
          <w:numId w:val="3"/>
        </w:numPr>
      </w:pPr>
      <w:r w:rsidRPr="005951A8">
        <w:t>The rest of the borough where the policy sets a nil limit. </w:t>
      </w:r>
    </w:p>
    <w:p w14:paraId="4BC00A78" w14:textId="1B7EA5D1" w:rsidR="005951A8" w:rsidRDefault="005951A8" w:rsidP="005951A8">
      <w:pPr>
        <w:rPr>
          <w:b/>
          <w:bCs/>
          <w:i/>
          <w:iCs/>
        </w:rPr>
      </w:pPr>
      <w:r>
        <w:lastRenderedPageBreak/>
        <w:t>This consultation sets out changes to the “</w:t>
      </w:r>
      <w:r w:rsidRPr="005951A8">
        <w:t>Designated Permitted Area</w:t>
      </w:r>
      <w:r>
        <w:t xml:space="preserve">”.  </w:t>
      </w:r>
      <w:r w:rsidRPr="00AA49DB">
        <w:rPr>
          <w:b/>
          <w:bCs/>
          <w:i/>
          <w:iCs/>
        </w:rPr>
        <w:t xml:space="preserve">It is proposed that the “Designated Permitted Area” be defined as the </w:t>
      </w:r>
      <w:hyperlink r:id="rId9" w:history="1">
        <w:r w:rsidRPr="00CE570C">
          <w:rPr>
            <w:rStyle w:val="Hyperlink"/>
            <w:b/>
            <w:bCs/>
            <w:i/>
            <w:iCs/>
          </w:rPr>
          <w:t>adopted Purple Flag accredited area</w:t>
        </w:r>
      </w:hyperlink>
      <w:r w:rsidRPr="00AA49DB">
        <w:rPr>
          <w:b/>
          <w:bCs/>
          <w:i/>
          <w:iCs/>
        </w:rPr>
        <w:t>.</w:t>
      </w:r>
    </w:p>
    <w:p w14:paraId="6B800848" w14:textId="5E4A49E8" w:rsidR="00AA49DB" w:rsidRDefault="005951A8" w:rsidP="005951A8">
      <w:r w:rsidRPr="005951A8">
        <w:t>Purple Flag is an</w:t>
      </w:r>
      <w:r>
        <w:t xml:space="preserve"> externally ass</w:t>
      </w:r>
      <w:r w:rsidR="003124AE">
        <w:t>ess</w:t>
      </w:r>
      <w:r>
        <w:t xml:space="preserve">ed </w:t>
      </w:r>
      <w:r w:rsidRPr="005951A8">
        <w:t>accreditation for town and city centres that have safe, welcoming, and well-managed nightlife and evening economies</w:t>
      </w:r>
      <w:r>
        <w:t xml:space="preserve">. </w:t>
      </w:r>
    </w:p>
    <w:p w14:paraId="245E16E8" w14:textId="4AC465BE" w:rsidR="005951A8" w:rsidRDefault="005951A8" w:rsidP="005951A8">
      <w:r>
        <w:t>In proposing to change the “</w:t>
      </w:r>
      <w:r w:rsidRPr="005951A8">
        <w:t>Designated Permitted Area</w:t>
      </w:r>
      <w:r>
        <w:t>”, the authority recognises that the</w:t>
      </w:r>
      <w:r w:rsidRPr="005951A8">
        <w:rPr>
          <w:i/>
          <w:iCs/>
        </w:rPr>
        <w:t xml:space="preserve"> </w:t>
      </w:r>
      <w:r w:rsidRPr="005951A8">
        <w:t>Purple Flag accredited area</w:t>
      </w:r>
      <w:r>
        <w:t>:</w:t>
      </w:r>
    </w:p>
    <w:p w14:paraId="21F23A4E" w14:textId="6AB5190E" w:rsidR="005951A8" w:rsidRDefault="005951A8" w:rsidP="005951A8">
      <w:pPr>
        <w:pStyle w:val="ListParagraph"/>
        <w:numPr>
          <w:ilvl w:val="0"/>
          <w:numId w:val="4"/>
        </w:numPr>
      </w:pPr>
      <w:r>
        <w:t>Is recognised as the borough’s evening and night</w:t>
      </w:r>
      <w:r w:rsidR="00C21BAE">
        <w:t>-</w:t>
      </w:r>
      <w:r>
        <w:t xml:space="preserve">time </w:t>
      </w:r>
      <w:proofErr w:type="gramStart"/>
      <w:r>
        <w:t>area</w:t>
      </w:r>
      <w:r w:rsidR="00AA49DB">
        <w:t>;</w:t>
      </w:r>
      <w:proofErr w:type="gramEnd"/>
    </w:p>
    <w:p w14:paraId="1D523486" w14:textId="408F1304" w:rsidR="00AA49DB" w:rsidRDefault="00AA49DB" w:rsidP="005951A8">
      <w:pPr>
        <w:pStyle w:val="ListParagraph"/>
        <w:numPr>
          <w:ilvl w:val="0"/>
          <w:numId w:val="4"/>
        </w:numPr>
      </w:pPr>
      <w:r>
        <w:t>O</w:t>
      </w:r>
      <w:r w:rsidRPr="00AA49DB">
        <w:t>ffers a more varied situation in as much as it has a much wider mix on offer, particularly in the night</w:t>
      </w:r>
      <w:r w:rsidR="00143D52">
        <w:t>-</w:t>
      </w:r>
      <w:r w:rsidRPr="00AA49DB">
        <w:t xml:space="preserve">time economy and it may therefore be appropriate to consider applications for SEVs in the </w:t>
      </w:r>
      <w:proofErr w:type="gramStart"/>
      <w:r w:rsidRPr="00AA49DB">
        <w:t>area</w:t>
      </w:r>
      <w:r>
        <w:t>;</w:t>
      </w:r>
      <w:proofErr w:type="gramEnd"/>
    </w:p>
    <w:p w14:paraId="5F57CE0A" w14:textId="56B06C59" w:rsidR="00A856DF" w:rsidRDefault="00A856DF" w:rsidP="005951A8">
      <w:pPr>
        <w:pStyle w:val="ListParagraph"/>
        <w:numPr>
          <w:ilvl w:val="0"/>
          <w:numId w:val="4"/>
        </w:numPr>
      </w:pPr>
      <w:r>
        <w:t>Provide</w:t>
      </w:r>
      <w:r w:rsidR="001A1C1F">
        <w:t>s</w:t>
      </w:r>
      <w:r>
        <w:t xml:space="preserve"> </w:t>
      </w:r>
      <w:r w:rsidR="00B55631">
        <w:t xml:space="preserve">further </w:t>
      </w:r>
      <w:r w:rsidR="001A1C1F">
        <w:t xml:space="preserve">options for </w:t>
      </w:r>
      <w:r w:rsidR="00B55631">
        <w:t>venue loca</w:t>
      </w:r>
      <w:r w:rsidR="00A650DC">
        <w:t xml:space="preserve">lity </w:t>
      </w:r>
      <w:r w:rsidR="00B55631">
        <w:t xml:space="preserve">that adhere to </w:t>
      </w:r>
      <w:r w:rsidR="001A1C1F">
        <w:t xml:space="preserve">avoiding </w:t>
      </w:r>
      <w:r w:rsidR="00A650DC">
        <w:t xml:space="preserve">‘sensitive locations’ </w:t>
      </w:r>
      <w:r w:rsidR="001A1C1F">
        <w:t xml:space="preserve">within </w:t>
      </w:r>
      <w:r w:rsidR="007D01A9">
        <w:t>the</w:t>
      </w:r>
      <w:r w:rsidR="001A1C1F">
        <w:t xml:space="preserve"> policy </w:t>
      </w:r>
    </w:p>
    <w:p w14:paraId="4BF0C85B" w14:textId="4DD7C47D" w:rsidR="005951A8" w:rsidRDefault="005951A8" w:rsidP="005951A8">
      <w:pPr>
        <w:pStyle w:val="ListParagraph"/>
        <w:numPr>
          <w:ilvl w:val="0"/>
          <w:numId w:val="4"/>
        </w:numPr>
      </w:pPr>
      <w:r>
        <w:t xml:space="preserve">Is externally assessed as safe, accessible </w:t>
      </w:r>
      <w:r w:rsidR="00AA49DB">
        <w:t>and generally well managed; and</w:t>
      </w:r>
    </w:p>
    <w:p w14:paraId="1D64C928" w14:textId="000E6548" w:rsidR="00A33B10" w:rsidRDefault="00AA49DB" w:rsidP="00A33B10">
      <w:pPr>
        <w:pStyle w:val="ListParagraph"/>
        <w:numPr>
          <w:ilvl w:val="0"/>
          <w:numId w:val="4"/>
        </w:numPr>
      </w:pPr>
      <w:r>
        <w:t>Is an area that is already subject to high levels of regulation, monitoring and enforcement.</w:t>
      </w:r>
    </w:p>
    <w:p w14:paraId="74A13F77" w14:textId="2125B6BD" w:rsidR="00A33B10" w:rsidRDefault="00A33B10" w:rsidP="00A33B10">
      <w:r w:rsidRPr="00A33B10">
        <w:t xml:space="preserve">Furthermore, the proposed amended Designated Permitted Area will provide greater opportunity for licensed operators to carefully consider the location of their venues so to not offend locations/premises or uses deemed sensitive as outlined in the policy (“Location of Premises” below).  </w:t>
      </w:r>
    </w:p>
    <w:tbl>
      <w:tblPr>
        <w:tblStyle w:val="TableGrid"/>
        <w:tblW w:w="0" w:type="auto"/>
        <w:tblLook w:val="04A0" w:firstRow="1" w:lastRow="0" w:firstColumn="1" w:lastColumn="0" w:noHBand="0" w:noVBand="1"/>
      </w:tblPr>
      <w:tblGrid>
        <w:gridCol w:w="9016"/>
      </w:tblGrid>
      <w:tr w:rsidR="00CE570C" w14:paraId="07C85846" w14:textId="77777777" w:rsidTr="00CE570C">
        <w:trPr>
          <w:trHeight w:val="7862"/>
        </w:trPr>
        <w:tc>
          <w:tcPr>
            <w:tcW w:w="9016" w:type="dxa"/>
            <w:shd w:val="clear" w:color="auto" w:fill="95DCF7" w:themeFill="accent4" w:themeFillTint="66"/>
          </w:tcPr>
          <w:p w14:paraId="49BCAFAF" w14:textId="5C23C719" w:rsidR="00CE570C" w:rsidRPr="00E03A05" w:rsidRDefault="00CE570C" w:rsidP="00DC593F">
            <w:pPr>
              <w:rPr>
                <w:rFonts w:ascii="Arial" w:hAnsi="Arial" w:cs="Arial"/>
                <w:b/>
                <w:bCs/>
              </w:rPr>
            </w:pPr>
            <w:r w:rsidRPr="00E03A05">
              <w:rPr>
                <w:rFonts w:ascii="Arial" w:hAnsi="Arial" w:cs="Arial"/>
                <w:b/>
                <w:bCs/>
              </w:rPr>
              <w:t xml:space="preserve">Question: </w:t>
            </w:r>
            <w:r w:rsidRPr="00CE570C">
              <w:rPr>
                <w:rFonts w:ascii="Arial" w:hAnsi="Arial" w:cs="Arial"/>
                <w:b/>
                <w:bCs/>
              </w:rPr>
              <w:t>Do you agree, or disagree, with the proposed changes to the "Designated Permitted Area"?</w:t>
            </w:r>
            <w:r w:rsidRPr="00CE570C">
              <w:rPr>
                <w:rFonts w:ascii="Arial" w:hAnsi="Arial" w:cs="Arial"/>
                <w:b/>
                <w:bCs/>
              </w:rPr>
              <w:t xml:space="preserve"> </w:t>
            </w:r>
            <w:r w:rsidRPr="00E03A05">
              <w:rPr>
                <w:rFonts w:ascii="Arial" w:hAnsi="Arial" w:cs="Arial"/>
                <w:b/>
                <w:bCs/>
              </w:rPr>
              <w:t>(required)</w:t>
            </w:r>
          </w:p>
          <w:p w14:paraId="66ACA450" w14:textId="77777777" w:rsidR="00CE570C" w:rsidRPr="00E03A05" w:rsidRDefault="00CE570C" w:rsidP="00DC593F">
            <w:pPr>
              <w:rPr>
                <w:rFonts w:ascii="Arial" w:hAnsi="Arial" w:cs="Arial"/>
              </w:rPr>
            </w:pPr>
          </w:p>
          <w:p w14:paraId="082885CE" w14:textId="77777777" w:rsidR="00CE570C" w:rsidRPr="00AF69DF" w:rsidRDefault="00CE570C" w:rsidP="00DC593F">
            <w:pPr>
              <w:ind w:left="22"/>
              <w:rPr>
                <w:rFonts w:ascii="Arial" w:hAnsi="Arial" w:cs="Arial"/>
              </w:rPr>
            </w:pPr>
            <w:r>
              <w:sym w:font="Wingdings" w:char="F06F"/>
            </w:r>
            <w:r w:rsidRPr="00AF69DF">
              <w:rPr>
                <w:rFonts w:ascii="Arial" w:hAnsi="Arial" w:cs="Arial"/>
              </w:rPr>
              <w:t xml:space="preserve"> Agree</w:t>
            </w:r>
          </w:p>
          <w:p w14:paraId="15A1E32A" w14:textId="77777777" w:rsidR="00CE570C" w:rsidRDefault="00CE570C" w:rsidP="00DC593F">
            <w:pPr>
              <w:ind w:left="22"/>
              <w:rPr>
                <w:rFonts w:ascii="Arial" w:hAnsi="Arial" w:cs="Arial"/>
              </w:rPr>
            </w:pPr>
            <w:r>
              <w:sym w:font="Wingdings" w:char="F06F"/>
            </w:r>
            <w:r w:rsidRPr="00AF69DF">
              <w:rPr>
                <w:rFonts w:ascii="Arial" w:hAnsi="Arial" w:cs="Arial"/>
              </w:rPr>
              <w:t xml:space="preserve"> Disagree</w:t>
            </w:r>
          </w:p>
          <w:p w14:paraId="7E9485FD" w14:textId="77777777" w:rsidR="00CE570C" w:rsidRPr="00E03A05" w:rsidRDefault="00CE570C" w:rsidP="00DC593F">
            <w:pPr>
              <w:rPr>
                <w:rFonts w:ascii="Arial" w:hAnsi="Arial" w:cs="Arial"/>
              </w:rPr>
            </w:pPr>
          </w:p>
          <w:p w14:paraId="22E542E8" w14:textId="77777777" w:rsidR="00CE570C" w:rsidRDefault="00CE570C" w:rsidP="00DC593F">
            <w:pPr>
              <w:rPr>
                <w:rFonts w:ascii="Arial" w:hAnsi="Arial" w:cs="Arial"/>
              </w:rPr>
            </w:pPr>
            <w:r w:rsidRPr="00E03A05">
              <w:rPr>
                <w:rFonts w:ascii="Arial" w:hAnsi="Arial" w:cs="Arial"/>
              </w:rPr>
              <w:t>Please provide any further comments you wish to make in relation to your answer. (</w:t>
            </w:r>
            <w:r w:rsidRPr="00E03A05">
              <w:rPr>
                <w:rFonts w:ascii="Arial" w:hAnsi="Arial" w:cs="Arial"/>
                <w:b/>
                <w:bCs/>
              </w:rPr>
              <w:t>optional</w:t>
            </w:r>
            <w:r w:rsidRPr="00E03A05">
              <w:rPr>
                <w:rFonts w:ascii="Arial" w:hAnsi="Arial" w:cs="Arial"/>
              </w:rPr>
              <w:t>)</w:t>
            </w:r>
          </w:p>
          <w:p w14:paraId="50448BD5" w14:textId="77777777" w:rsidR="00CE570C" w:rsidRDefault="00CE570C" w:rsidP="00DC593F">
            <w:pPr>
              <w:rPr>
                <w:rFonts w:ascii="Arial" w:hAnsi="Arial" w:cs="Arial"/>
              </w:rPr>
            </w:pPr>
          </w:p>
          <w:p w14:paraId="70B54424" w14:textId="77777777" w:rsidR="00CE570C" w:rsidRDefault="00CE570C" w:rsidP="00DC593F">
            <w:pPr>
              <w:rPr>
                <w:rFonts w:ascii="Arial" w:hAnsi="Arial" w:cs="Arial"/>
              </w:rPr>
            </w:pPr>
          </w:p>
          <w:p w14:paraId="75040A24" w14:textId="77777777" w:rsidR="00CE570C" w:rsidRDefault="00CE570C" w:rsidP="00DC593F">
            <w:pPr>
              <w:rPr>
                <w:rFonts w:ascii="Arial" w:hAnsi="Arial" w:cs="Arial"/>
              </w:rPr>
            </w:pPr>
          </w:p>
          <w:p w14:paraId="37060B07" w14:textId="77777777" w:rsidR="00CE570C" w:rsidRDefault="00CE570C" w:rsidP="00DC593F">
            <w:pPr>
              <w:rPr>
                <w:rFonts w:ascii="Arial" w:hAnsi="Arial" w:cs="Arial"/>
              </w:rPr>
            </w:pPr>
          </w:p>
          <w:p w14:paraId="7DE1E06F" w14:textId="77777777" w:rsidR="00CE570C" w:rsidRDefault="00CE570C" w:rsidP="00DC593F">
            <w:pPr>
              <w:rPr>
                <w:rFonts w:ascii="Arial" w:hAnsi="Arial" w:cs="Arial"/>
              </w:rPr>
            </w:pPr>
          </w:p>
          <w:p w14:paraId="5D6BFACF" w14:textId="77777777" w:rsidR="00CE570C" w:rsidRDefault="00CE570C" w:rsidP="00DC593F">
            <w:pPr>
              <w:rPr>
                <w:rFonts w:ascii="Arial" w:hAnsi="Arial" w:cs="Arial"/>
              </w:rPr>
            </w:pPr>
          </w:p>
          <w:p w14:paraId="1281B40A" w14:textId="77777777" w:rsidR="00CE570C" w:rsidRDefault="00CE570C" w:rsidP="00DC593F">
            <w:pPr>
              <w:rPr>
                <w:rFonts w:ascii="Arial" w:hAnsi="Arial" w:cs="Arial"/>
              </w:rPr>
            </w:pPr>
          </w:p>
          <w:p w14:paraId="14E49922" w14:textId="77777777" w:rsidR="00CE570C" w:rsidRDefault="00CE570C" w:rsidP="00DC593F">
            <w:pPr>
              <w:rPr>
                <w:rFonts w:ascii="Arial" w:hAnsi="Arial" w:cs="Arial"/>
              </w:rPr>
            </w:pPr>
          </w:p>
          <w:p w14:paraId="20D37B5B" w14:textId="77777777" w:rsidR="00CE570C" w:rsidRDefault="00CE570C" w:rsidP="00DC593F">
            <w:pPr>
              <w:rPr>
                <w:rFonts w:ascii="Arial" w:hAnsi="Arial" w:cs="Arial"/>
              </w:rPr>
            </w:pPr>
          </w:p>
          <w:p w14:paraId="6C3008E7" w14:textId="77777777" w:rsidR="00CE570C" w:rsidRDefault="00CE570C" w:rsidP="00DC593F">
            <w:pPr>
              <w:rPr>
                <w:rFonts w:ascii="Arial" w:hAnsi="Arial" w:cs="Arial"/>
              </w:rPr>
            </w:pPr>
          </w:p>
          <w:p w14:paraId="09D284A0" w14:textId="77777777" w:rsidR="00CE570C" w:rsidRDefault="00CE570C" w:rsidP="00DC593F">
            <w:pPr>
              <w:rPr>
                <w:rFonts w:ascii="Arial" w:hAnsi="Arial" w:cs="Arial"/>
              </w:rPr>
            </w:pPr>
          </w:p>
          <w:p w14:paraId="6C36A798" w14:textId="77777777" w:rsidR="00CE570C" w:rsidRDefault="00CE570C" w:rsidP="00DC593F">
            <w:pPr>
              <w:rPr>
                <w:rFonts w:ascii="Arial" w:hAnsi="Arial" w:cs="Arial"/>
              </w:rPr>
            </w:pPr>
          </w:p>
        </w:tc>
      </w:tr>
    </w:tbl>
    <w:p w14:paraId="512663E3" w14:textId="6EBFF64F" w:rsidR="005951A8" w:rsidRDefault="005951A8" w:rsidP="005951A8">
      <w:pPr>
        <w:pStyle w:val="Heading2"/>
      </w:pPr>
      <w:r w:rsidRPr="005951A8">
        <w:lastRenderedPageBreak/>
        <w:t>Location of Premises</w:t>
      </w:r>
    </w:p>
    <w:p w14:paraId="5D4F2604" w14:textId="4BD94DA1" w:rsidR="00AA49DB" w:rsidRDefault="00AA49DB" w:rsidP="00AA49DB">
      <w:r w:rsidRPr="00AA49DB">
        <w:t xml:space="preserve">In considering if the grant, renewal or variation of the licence would be inappropriate, having regard to the character of the relevant locality or to the use to which any premises in the vicinity are put, the authority </w:t>
      </w:r>
      <w:r>
        <w:t>will</w:t>
      </w:r>
      <w:r w:rsidRPr="00AA49DB">
        <w:t xml:space="preserve"> consider</w:t>
      </w:r>
      <w:r>
        <w:t xml:space="preserve"> </w:t>
      </w:r>
      <w:r w:rsidRPr="00AA49DB">
        <w:t>whether the grant of the application would be appropriate, having regard to</w:t>
      </w:r>
      <w:r>
        <w:t xml:space="preserve"> </w:t>
      </w:r>
      <w:proofErr w:type="gramStart"/>
      <w:r>
        <w:t>a number of</w:t>
      </w:r>
      <w:proofErr w:type="gramEnd"/>
      <w:r>
        <w:t xml:space="preserve"> specific </w:t>
      </w:r>
      <w:r w:rsidR="007D01A9">
        <w:t>criteria</w:t>
      </w:r>
      <w:r>
        <w:t xml:space="preserve">. </w:t>
      </w:r>
    </w:p>
    <w:p w14:paraId="67BE2469" w14:textId="3C91563F" w:rsidR="00AA49DB" w:rsidRDefault="00AA49DB" w:rsidP="00AA49DB">
      <w:hyperlink r:id="rId10" w:history="1">
        <w:r w:rsidRPr="00A33B10">
          <w:rPr>
            <w:rStyle w:val="Hyperlink"/>
          </w:rPr>
          <w:t>The current policy’s</w:t>
        </w:r>
      </w:hyperlink>
      <w:r>
        <w:t xml:space="preserve"> list of considerations can be found under paragraph 12.4 of the existing policy.</w:t>
      </w:r>
    </w:p>
    <w:p w14:paraId="4BF01F4B" w14:textId="77777777" w:rsidR="00A77D70" w:rsidRDefault="00AA49DB" w:rsidP="00AA49DB">
      <w:r>
        <w:t xml:space="preserve">We are proposing to make some changes to the list of relevant considerations.  These proposed changes are </w:t>
      </w:r>
      <w:r w:rsidR="00A77D70">
        <w:t>highlighted below (</w:t>
      </w:r>
      <w:r w:rsidR="00A77D70" w:rsidRPr="00A77D70">
        <w:rPr>
          <w:b/>
          <w:bCs/>
        </w:rPr>
        <w:t>bold</w:t>
      </w:r>
      <w:r w:rsidR="00A77D70">
        <w:t xml:space="preserve"> and </w:t>
      </w:r>
      <w:r w:rsidR="00A77D70" w:rsidRPr="00A77D70">
        <w:rPr>
          <w:u w:val="single"/>
        </w:rPr>
        <w:t>underlined</w:t>
      </w:r>
      <w:r w:rsidR="00A77D70">
        <w:t xml:space="preserve">).  </w:t>
      </w:r>
    </w:p>
    <w:p w14:paraId="0A9EF5FC" w14:textId="6A83F6C6" w:rsidR="00AA49DB" w:rsidRDefault="00A77D70" w:rsidP="00AA49DB">
      <w:r>
        <w:t>These proposed changes seek to address issues and considerations raised by both operators and objectors since the last policy review that the authority deems necessary to reflect and promote the overall policy and legislative aims.</w:t>
      </w:r>
    </w:p>
    <w:p w14:paraId="0732398C" w14:textId="77777777" w:rsidR="00AA49DB" w:rsidRPr="00AA49DB" w:rsidRDefault="00AA49DB" w:rsidP="00AA49DB">
      <w:pPr>
        <w:numPr>
          <w:ilvl w:val="0"/>
          <w:numId w:val="5"/>
        </w:numPr>
        <w:rPr>
          <w:i/>
          <w:iCs/>
        </w:rPr>
      </w:pPr>
      <w:r w:rsidRPr="00AA49DB">
        <w:rPr>
          <w:i/>
          <w:iCs/>
        </w:rPr>
        <w:t xml:space="preserve">The fact that the premises are sited in a residential area </w:t>
      </w:r>
    </w:p>
    <w:p w14:paraId="2CD65AA5" w14:textId="77777777" w:rsidR="00AA49DB" w:rsidRPr="00AA49DB" w:rsidRDefault="00AA49DB" w:rsidP="00AA49DB">
      <w:pPr>
        <w:numPr>
          <w:ilvl w:val="0"/>
          <w:numId w:val="5"/>
        </w:numPr>
        <w:rPr>
          <w:i/>
          <w:iCs/>
        </w:rPr>
      </w:pPr>
      <w:r w:rsidRPr="00AA49DB">
        <w:rPr>
          <w:i/>
          <w:iCs/>
        </w:rPr>
        <w:t>Whether the premises are sited near shops used by or directed at families or children, or on frontages frequently passed by the same</w:t>
      </w:r>
    </w:p>
    <w:p w14:paraId="48C7896B" w14:textId="77777777" w:rsidR="00CA5003" w:rsidRPr="00CA5003" w:rsidRDefault="00CA5003" w:rsidP="00CA5003">
      <w:pPr>
        <w:pStyle w:val="ListParagraph"/>
        <w:numPr>
          <w:ilvl w:val="0"/>
          <w:numId w:val="5"/>
        </w:numPr>
        <w:tabs>
          <w:tab w:val="num" w:pos="720"/>
        </w:tabs>
        <w:rPr>
          <w:rFonts w:ascii="Arial" w:hAnsi="Arial" w:cs="Arial"/>
          <w:b/>
          <w:bCs/>
          <w:u w:val="single"/>
        </w:rPr>
      </w:pPr>
      <w:r w:rsidRPr="00CA5003">
        <w:rPr>
          <w:rFonts w:ascii="Arial" w:hAnsi="Arial" w:cs="Arial"/>
        </w:rPr>
        <w:t xml:space="preserve">Whether the premises are sited near properties which are sensitive by virtue of their use </w:t>
      </w:r>
      <w:r w:rsidRPr="00CA5003">
        <w:rPr>
          <w:rFonts w:ascii="Arial" w:hAnsi="Arial" w:cs="Arial"/>
          <w:b/>
          <w:bCs/>
          <w:u w:val="single"/>
        </w:rPr>
        <w:t>during operating hours</w:t>
      </w:r>
      <w:r w:rsidRPr="00CA5003">
        <w:rPr>
          <w:rFonts w:ascii="Arial" w:hAnsi="Arial" w:cs="Arial"/>
          <w:b/>
          <w:bCs/>
        </w:rPr>
        <w:t>, deemed to be so by the authority, on a case-by-case basis</w:t>
      </w:r>
      <w:r w:rsidRPr="00CA5003">
        <w:rPr>
          <w:rFonts w:ascii="Arial" w:hAnsi="Arial" w:cs="Arial"/>
          <w:b/>
          <w:bCs/>
          <w:u w:val="single"/>
        </w:rPr>
        <w:t xml:space="preserve"> and with </w:t>
      </w:r>
      <w:proofErr w:type="gramStart"/>
      <w:r w:rsidRPr="00CA5003">
        <w:rPr>
          <w:rFonts w:ascii="Arial" w:hAnsi="Arial" w:cs="Arial"/>
          <w:b/>
          <w:bCs/>
          <w:u w:val="single"/>
        </w:rPr>
        <w:t>particular reference</w:t>
      </w:r>
      <w:proofErr w:type="gramEnd"/>
      <w:r w:rsidRPr="00CA5003">
        <w:rPr>
          <w:rFonts w:ascii="Arial" w:hAnsi="Arial" w:cs="Arial"/>
          <w:b/>
          <w:bCs/>
          <w:u w:val="single"/>
        </w:rPr>
        <w:t xml:space="preserve"> to protective characteristics where these are known by the authority:</w:t>
      </w:r>
    </w:p>
    <w:p w14:paraId="29EFBAE5" w14:textId="77777777" w:rsidR="00CA5003" w:rsidRPr="00CA5003" w:rsidRDefault="00CA5003" w:rsidP="00CA5003">
      <w:pPr>
        <w:pStyle w:val="ListParagraph"/>
        <w:rPr>
          <w:rFonts w:ascii="Arial" w:hAnsi="Arial" w:cs="Arial"/>
          <w:b/>
          <w:bCs/>
          <w:u w:val="single"/>
        </w:rPr>
      </w:pPr>
    </w:p>
    <w:p w14:paraId="6CE1A1AE"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age</w:t>
      </w:r>
    </w:p>
    <w:p w14:paraId="27047CC9"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disability</w:t>
      </w:r>
    </w:p>
    <w:p w14:paraId="7233E623"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gender reassignment</w:t>
      </w:r>
    </w:p>
    <w:p w14:paraId="4C10B29E"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marriage and civil partnership</w:t>
      </w:r>
    </w:p>
    <w:p w14:paraId="37A13270"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pregnancy and maternity</w:t>
      </w:r>
    </w:p>
    <w:p w14:paraId="3E18C0C3"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race</w:t>
      </w:r>
    </w:p>
    <w:p w14:paraId="56A7DD05"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religion or belief</w:t>
      </w:r>
    </w:p>
    <w:p w14:paraId="00D6DD0A"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sex</w:t>
      </w:r>
    </w:p>
    <w:p w14:paraId="4DEA8267" w14:textId="77777777" w:rsidR="00CA5003" w:rsidRPr="00CA5003" w:rsidRDefault="00CA5003" w:rsidP="00CA5003">
      <w:pPr>
        <w:pStyle w:val="ListParagraph"/>
        <w:numPr>
          <w:ilvl w:val="1"/>
          <w:numId w:val="5"/>
        </w:numPr>
        <w:rPr>
          <w:rFonts w:ascii="Arial" w:hAnsi="Arial" w:cs="Arial"/>
          <w:b/>
          <w:bCs/>
          <w:u w:val="single"/>
        </w:rPr>
      </w:pPr>
      <w:r w:rsidRPr="00CA5003">
        <w:rPr>
          <w:rFonts w:ascii="Arial" w:hAnsi="Arial" w:cs="Arial"/>
          <w:b/>
          <w:bCs/>
          <w:u w:val="single"/>
        </w:rPr>
        <w:t>sexual orientation</w:t>
      </w:r>
    </w:p>
    <w:p w14:paraId="24C10E15" w14:textId="77777777" w:rsidR="00AA49DB" w:rsidRPr="00AA49DB" w:rsidRDefault="00AA49DB" w:rsidP="00AA49DB">
      <w:pPr>
        <w:numPr>
          <w:ilvl w:val="0"/>
          <w:numId w:val="5"/>
        </w:numPr>
        <w:rPr>
          <w:i/>
          <w:iCs/>
        </w:rPr>
      </w:pPr>
      <w:r w:rsidRPr="00AA49DB">
        <w:rPr>
          <w:i/>
          <w:iCs/>
        </w:rPr>
        <w:t>Whether the premises are sited near premises or areas which are sensitive because they are frequented by children, young persons or families</w:t>
      </w:r>
    </w:p>
    <w:p w14:paraId="1D4604C3" w14:textId="77777777" w:rsidR="00AA49DB" w:rsidRPr="00AA49DB" w:rsidRDefault="00AA49DB" w:rsidP="00AA49DB">
      <w:pPr>
        <w:numPr>
          <w:ilvl w:val="0"/>
          <w:numId w:val="5"/>
        </w:numPr>
        <w:rPr>
          <w:b/>
          <w:bCs/>
          <w:i/>
          <w:iCs/>
          <w:u w:val="single"/>
        </w:rPr>
      </w:pPr>
      <w:r w:rsidRPr="00AA49DB">
        <w:rPr>
          <w:b/>
          <w:bCs/>
          <w:i/>
          <w:iCs/>
          <w:u w:val="single"/>
        </w:rPr>
        <w:t>The characteristics of any adjoining localities</w:t>
      </w:r>
    </w:p>
    <w:p w14:paraId="22316B1B" w14:textId="77777777" w:rsidR="00AA49DB" w:rsidRPr="00AA49DB" w:rsidRDefault="00AA49DB" w:rsidP="00AA49DB">
      <w:pPr>
        <w:numPr>
          <w:ilvl w:val="0"/>
          <w:numId w:val="5"/>
        </w:numPr>
        <w:rPr>
          <w:b/>
          <w:bCs/>
          <w:i/>
          <w:iCs/>
          <w:u w:val="single"/>
        </w:rPr>
      </w:pPr>
      <w:r w:rsidRPr="00AA49DB">
        <w:rPr>
          <w:b/>
          <w:bCs/>
          <w:i/>
          <w:iCs/>
          <w:u w:val="single"/>
        </w:rPr>
        <w:t xml:space="preserve">Any existing licensing permissions held for the premises other than sexual </w:t>
      </w:r>
      <w:proofErr w:type="gramStart"/>
      <w:r w:rsidRPr="00AA49DB">
        <w:rPr>
          <w:b/>
          <w:bCs/>
          <w:i/>
          <w:iCs/>
          <w:u w:val="single"/>
        </w:rPr>
        <w:t>entertainment;</w:t>
      </w:r>
      <w:proofErr w:type="gramEnd"/>
    </w:p>
    <w:p w14:paraId="5CE6C279" w14:textId="77777777" w:rsidR="00AA49DB" w:rsidRPr="00AA49DB" w:rsidRDefault="00AA49DB" w:rsidP="00AA49DB">
      <w:pPr>
        <w:numPr>
          <w:ilvl w:val="0"/>
          <w:numId w:val="5"/>
        </w:numPr>
        <w:rPr>
          <w:b/>
          <w:bCs/>
          <w:i/>
          <w:iCs/>
          <w:u w:val="single"/>
        </w:rPr>
      </w:pPr>
      <w:r w:rsidRPr="00AA49DB">
        <w:rPr>
          <w:b/>
          <w:bCs/>
          <w:i/>
          <w:iCs/>
          <w:u w:val="single"/>
        </w:rPr>
        <w:t xml:space="preserve">The proximity of other licensed premises in the surrounding area and the terms of those </w:t>
      </w:r>
      <w:proofErr w:type="gramStart"/>
      <w:r w:rsidRPr="00AA49DB">
        <w:rPr>
          <w:b/>
          <w:bCs/>
          <w:i/>
          <w:iCs/>
          <w:u w:val="single"/>
        </w:rPr>
        <w:t>licences;</w:t>
      </w:r>
      <w:proofErr w:type="gramEnd"/>
    </w:p>
    <w:p w14:paraId="1BBF89BB" w14:textId="77777777" w:rsidR="00AA49DB" w:rsidRPr="00AA49DB" w:rsidRDefault="00AA49DB" w:rsidP="00AA49DB">
      <w:pPr>
        <w:numPr>
          <w:ilvl w:val="0"/>
          <w:numId w:val="5"/>
        </w:numPr>
        <w:rPr>
          <w:b/>
          <w:bCs/>
          <w:i/>
          <w:iCs/>
          <w:u w:val="single"/>
        </w:rPr>
      </w:pPr>
      <w:r w:rsidRPr="00AA49DB">
        <w:rPr>
          <w:b/>
          <w:bCs/>
          <w:i/>
          <w:iCs/>
          <w:u w:val="single"/>
        </w:rPr>
        <w:t xml:space="preserve">Any existing planning or regeneration policy/plan/strategies relevant to the </w:t>
      </w:r>
      <w:proofErr w:type="gramStart"/>
      <w:r w:rsidRPr="00AA49DB">
        <w:rPr>
          <w:b/>
          <w:bCs/>
          <w:i/>
          <w:iCs/>
          <w:u w:val="single"/>
        </w:rPr>
        <w:t>area;</w:t>
      </w:r>
      <w:proofErr w:type="gramEnd"/>
    </w:p>
    <w:p w14:paraId="1E138262" w14:textId="77777777" w:rsidR="00AA49DB" w:rsidRPr="00AA49DB" w:rsidRDefault="00AA49DB" w:rsidP="00AA49DB">
      <w:pPr>
        <w:numPr>
          <w:ilvl w:val="0"/>
          <w:numId w:val="5"/>
        </w:numPr>
        <w:rPr>
          <w:b/>
          <w:bCs/>
          <w:i/>
          <w:iCs/>
          <w:u w:val="single"/>
        </w:rPr>
      </w:pPr>
      <w:r w:rsidRPr="00AA49DB">
        <w:rPr>
          <w:b/>
          <w:bCs/>
          <w:i/>
          <w:iCs/>
          <w:u w:val="single"/>
        </w:rPr>
        <w:t xml:space="preserve">History of complaints relevant to the </w:t>
      </w:r>
      <w:proofErr w:type="gramStart"/>
      <w:r w:rsidRPr="00AA49DB">
        <w:rPr>
          <w:b/>
          <w:bCs/>
          <w:i/>
          <w:iCs/>
          <w:u w:val="single"/>
        </w:rPr>
        <w:t>premises;</w:t>
      </w:r>
      <w:proofErr w:type="gramEnd"/>
    </w:p>
    <w:p w14:paraId="6D7DACF6" w14:textId="77777777" w:rsidR="00AA49DB" w:rsidRPr="00AA49DB" w:rsidRDefault="00AA49DB" w:rsidP="00AA49DB">
      <w:pPr>
        <w:numPr>
          <w:ilvl w:val="0"/>
          <w:numId w:val="5"/>
        </w:numPr>
        <w:rPr>
          <w:b/>
          <w:bCs/>
          <w:i/>
          <w:iCs/>
          <w:u w:val="single"/>
        </w:rPr>
      </w:pPr>
      <w:r w:rsidRPr="00AA49DB">
        <w:rPr>
          <w:b/>
          <w:bCs/>
          <w:i/>
          <w:iCs/>
          <w:u w:val="single"/>
        </w:rPr>
        <w:t>Whether, as a direct consequence of the grant, renewal or variation of the licence, any other premises will be required to change their operating hours.</w:t>
      </w:r>
    </w:p>
    <w:p w14:paraId="7C4991D0" w14:textId="77777777" w:rsidR="00A33B10" w:rsidRDefault="00A33B10" w:rsidP="00A77D70">
      <w:pPr>
        <w:ind w:left="360"/>
      </w:pPr>
    </w:p>
    <w:tbl>
      <w:tblPr>
        <w:tblStyle w:val="TableGrid"/>
        <w:tblW w:w="0" w:type="auto"/>
        <w:tblLook w:val="04A0" w:firstRow="1" w:lastRow="0" w:firstColumn="1" w:lastColumn="0" w:noHBand="0" w:noVBand="1"/>
      </w:tblPr>
      <w:tblGrid>
        <w:gridCol w:w="9016"/>
      </w:tblGrid>
      <w:tr w:rsidR="00CE570C" w14:paraId="5FDEBDFF" w14:textId="77777777" w:rsidTr="007154BE">
        <w:trPr>
          <w:trHeight w:val="13740"/>
        </w:trPr>
        <w:tc>
          <w:tcPr>
            <w:tcW w:w="9016" w:type="dxa"/>
            <w:shd w:val="clear" w:color="auto" w:fill="95DCF7" w:themeFill="accent4" w:themeFillTint="66"/>
          </w:tcPr>
          <w:p w14:paraId="66DDDD64" w14:textId="7CB48F2B" w:rsidR="00CE570C" w:rsidRPr="00E03A05" w:rsidRDefault="00CE570C" w:rsidP="00DC593F">
            <w:pPr>
              <w:rPr>
                <w:rFonts w:ascii="Arial" w:hAnsi="Arial" w:cs="Arial"/>
                <w:b/>
                <w:bCs/>
              </w:rPr>
            </w:pPr>
            <w:r w:rsidRPr="00E03A05">
              <w:rPr>
                <w:rFonts w:ascii="Arial" w:hAnsi="Arial" w:cs="Arial"/>
                <w:b/>
                <w:bCs/>
              </w:rPr>
              <w:lastRenderedPageBreak/>
              <w:t xml:space="preserve">Question: </w:t>
            </w:r>
            <w:r w:rsidRPr="00CE570C">
              <w:rPr>
                <w:rFonts w:ascii="Arial" w:hAnsi="Arial" w:cs="Arial"/>
                <w:b/>
                <w:bCs/>
              </w:rPr>
              <w:t>Do you agree, or disagree, with the proposed changes to the relevant considerations?</w:t>
            </w:r>
            <w:r w:rsidRPr="00CE570C">
              <w:rPr>
                <w:rFonts w:ascii="Arial" w:hAnsi="Arial" w:cs="Arial"/>
                <w:b/>
                <w:bCs/>
              </w:rPr>
              <w:t xml:space="preserve"> </w:t>
            </w:r>
            <w:r w:rsidRPr="00E03A05">
              <w:rPr>
                <w:rFonts w:ascii="Arial" w:hAnsi="Arial" w:cs="Arial"/>
                <w:b/>
                <w:bCs/>
              </w:rPr>
              <w:t>(required)</w:t>
            </w:r>
          </w:p>
          <w:p w14:paraId="68833199" w14:textId="77777777" w:rsidR="00CE570C" w:rsidRPr="00E03A05" w:rsidRDefault="00CE570C" w:rsidP="00DC593F">
            <w:pPr>
              <w:rPr>
                <w:rFonts w:ascii="Arial" w:hAnsi="Arial" w:cs="Arial"/>
              </w:rPr>
            </w:pPr>
          </w:p>
          <w:p w14:paraId="0C12A67B" w14:textId="77777777" w:rsidR="00CE570C" w:rsidRPr="00AF69DF" w:rsidRDefault="00CE570C" w:rsidP="00DC593F">
            <w:pPr>
              <w:ind w:left="22"/>
              <w:rPr>
                <w:rFonts w:ascii="Arial" w:hAnsi="Arial" w:cs="Arial"/>
              </w:rPr>
            </w:pPr>
            <w:r>
              <w:sym w:font="Wingdings" w:char="F06F"/>
            </w:r>
            <w:r w:rsidRPr="00AF69DF">
              <w:rPr>
                <w:rFonts w:ascii="Arial" w:hAnsi="Arial" w:cs="Arial"/>
              </w:rPr>
              <w:t xml:space="preserve"> Agree</w:t>
            </w:r>
          </w:p>
          <w:p w14:paraId="428985BD" w14:textId="77777777" w:rsidR="00CE570C" w:rsidRDefault="00CE570C" w:rsidP="00DC593F">
            <w:pPr>
              <w:ind w:left="22"/>
              <w:rPr>
                <w:rFonts w:ascii="Arial" w:hAnsi="Arial" w:cs="Arial"/>
              </w:rPr>
            </w:pPr>
            <w:r>
              <w:sym w:font="Wingdings" w:char="F06F"/>
            </w:r>
            <w:r w:rsidRPr="00AF69DF">
              <w:rPr>
                <w:rFonts w:ascii="Arial" w:hAnsi="Arial" w:cs="Arial"/>
              </w:rPr>
              <w:t xml:space="preserve"> Disagree</w:t>
            </w:r>
          </w:p>
          <w:p w14:paraId="30DC8152" w14:textId="77777777" w:rsidR="00CE570C" w:rsidRPr="00E03A05" w:rsidRDefault="00CE570C" w:rsidP="00DC593F">
            <w:pPr>
              <w:rPr>
                <w:rFonts w:ascii="Arial" w:hAnsi="Arial" w:cs="Arial"/>
              </w:rPr>
            </w:pPr>
          </w:p>
          <w:p w14:paraId="165A0294" w14:textId="77777777" w:rsidR="00CE570C" w:rsidRDefault="00CE570C" w:rsidP="00DC593F">
            <w:pPr>
              <w:rPr>
                <w:rFonts w:ascii="Arial" w:hAnsi="Arial" w:cs="Arial"/>
              </w:rPr>
            </w:pPr>
            <w:r w:rsidRPr="00E03A05">
              <w:rPr>
                <w:rFonts w:ascii="Arial" w:hAnsi="Arial" w:cs="Arial"/>
              </w:rPr>
              <w:t>Please provide any further comments you wish to make in relation to your answer. (</w:t>
            </w:r>
            <w:r w:rsidRPr="00E03A05">
              <w:rPr>
                <w:rFonts w:ascii="Arial" w:hAnsi="Arial" w:cs="Arial"/>
                <w:b/>
                <w:bCs/>
              </w:rPr>
              <w:t>optional</w:t>
            </w:r>
            <w:r w:rsidRPr="00E03A05">
              <w:rPr>
                <w:rFonts w:ascii="Arial" w:hAnsi="Arial" w:cs="Arial"/>
              </w:rPr>
              <w:t>)</w:t>
            </w:r>
          </w:p>
          <w:p w14:paraId="1621AECD" w14:textId="77777777" w:rsidR="00CE570C" w:rsidRDefault="00CE570C" w:rsidP="00DC593F">
            <w:pPr>
              <w:rPr>
                <w:rFonts w:ascii="Arial" w:hAnsi="Arial" w:cs="Arial"/>
              </w:rPr>
            </w:pPr>
          </w:p>
          <w:p w14:paraId="253BA971" w14:textId="77777777" w:rsidR="00CE570C" w:rsidRDefault="00CE570C" w:rsidP="00DC593F">
            <w:pPr>
              <w:rPr>
                <w:rFonts w:ascii="Arial" w:hAnsi="Arial" w:cs="Arial"/>
              </w:rPr>
            </w:pPr>
          </w:p>
          <w:p w14:paraId="7CE02C03" w14:textId="77777777" w:rsidR="00CE570C" w:rsidRDefault="00CE570C" w:rsidP="00DC593F">
            <w:pPr>
              <w:rPr>
                <w:rFonts w:ascii="Arial" w:hAnsi="Arial" w:cs="Arial"/>
              </w:rPr>
            </w:pPr>
          </w:p>
          <w:p w14:paraId="3F0578BC" w14:textId="77777777" w:rsidR="00CE570C" w:rsidRDefault="00CE570C" w:rsidP="00DC593F">
            <w:pPr>
              <w:rPr>
                <w:rFonts w:ascii="Arial" w:hAnsi="Arial" w:cs="Arial"/>
              </w:rPr>
            </w:pPr>
          </w:p>
          <w:p w14:paraId="4FF591B2" w14:textId="77777777" w:rsidR="00CE570C" w:rsidRDefault="00CE570C" w:rsidP="00DC593F">
            <w:pPr>
              <w:rPr>
                <w:rFonts w:ascii="Arial" w:hAnsi="Arial" w:cs="Arial"/>
              </w:rPr>
            </w:pPr>
          </w:p>
          <w:p w14:paraId="1AE34BDB" w14:textId="77777777" w:rsidR="00CE570C" w:rsidRDefault="00CE570C" w:rsidP="00DC593F">
            <w:pPr>
              <w:rPr>
                <w:rFonts w:ascii="Arial" w:hAnsi="Arial" w:cs="Arial"/>
              </w:rPr>
            </w:pPr>
          </w:p>
          <w:p w14:paraId="1CE1E382" w14:textId="77777777" w:rsidR="00CE570C" w:rsidRDefault="00CE570C" w:rsidP="00DC593F">
            <w:pPr>
              <w:rPr>
                <w:rFonts w:ascii="Arial" w:hAnsi="Arial" w:cs="Arial"/>
              </w:rPr>
            </w:pPr>
          </w:p>
          <w:p w14:paraId="20E1A8A0" w14:textId="77777777" w:rsidR="00CE570C" w:rsidRDefault="00CE570C" w:rsidP="00DC593F">
            <w:pPr>
              <w:rPr>
                <w:rFonts w:ascii="Arial" w:hAnsi="Arial" w:cs="Arial"/>
              </w:rPr>
            </w:pPr>
          </w:p>
          <w:p w14:paraId="0C0ED706" w14:textId="77777777" w:rsidR="00CE570C" w:rsidRDefault="00CE570C" w:rsidP="00DC593F">
            <w:pPr>
              <w:rPr>
                <w:rFonts w:ascii="Arial" w:hAnsi="Arial" w:cs="Arial"/>
              </w:rPr>
            </w:pPr>
          </w:p>
          <w:p w14:paraId="305BACF0" w14:textId="77777777" w:rsidR="00CE570C" w:rsidRDefault="00CE570C" w:rsidP="00DC593F">
            <w:pPr>
              <w:rPr>
                <w:rFonts w:ascii="Arial" w:hAnsi="Arial" w:cs="Arial"/>
              </w:rPr>
            </w:pPr>
          </w:p>
          <w:p w14:paraId="48065006" w14:textId="77777777" w:rsidR="00CE570C" w:rsidRDefault="00CE570C" w:rsidP="00DC593F">
            <w:pPr>
              <w:rPr>
                <w:rFonts w:ascii="Arial" w:hAnsi="Arial" w:cs="Arial"/>
              </w:rPr>
            </w:pPr>
          </w:p>
          <w:p w14:paraId="3538D20B" w14:textId="77777777" w:rsidR="00CE570C" w:rsidRDefault="00CE570C" w:rsidP="00DC593F">
            <w:pPr>
              <w:rPr>
                <w:rFonts w:ascii="Arial" w:hAnsi="Arial" w:cs="Arial"/>
              </w:rPr>
            </w:pPr>
          </w:p>
        </w:tc>
      </w:tr>
    </w:tbl>
    <w:p w14:paraId="2860EE84" w14:textId="182F3A57" w:rsidR="00482C28" w:rsidRPr="00A77D70" w:rsidRDefault="00482C28" w:rsidP="007154BE"/>
    <w:sectPr w:rsidR="00482C28" w:rsidRPr="00A77D70" w:rsidSect="00A77D7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AC67" w14:textId="77777777" w:rsidR="0049264E" w:rsidRDefault="0049264E" w:rsidP="00A77D70">
      <w:pPr>
        <w:spacing w:after="0" w:line="240" w:lineRule="auto"/>
      </w:pPr>
      <w:r>
        <w:separator/>
      </w:r>
    </w:p>
  </w:endnote>
  <w:endnote w:type="continuationSeparator" w:id="0">
    <w:p w14:paraId="69C0B279" w14:textId="77777777" w:rsidR="0049264E" w:rsidRDefault="0049264E" w:rsidP="00A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1D9A" w14:textId="77777777" w:rsidR="00A77D70" w:rsidRDefault="00A77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577D" w14:textId="77777777" w:rsidR="00A77D70" w:rsidRDefault="00A77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63DB" w14:textId="77777777" w:rsidR="00A77D70" w:rsidRDefault="00A77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9907" w14:textId="77777777" w:rsidR="0049264E" w:rsidRDefault="0049264E" w:rsidP="00A77D70">
      <w:pPr>
        <w:spacing w:after="0" w:line="240" w:lineRule="auto"/>
      </w:pPr>
      <w:r>
        <w:separator/>
      </w:r>
    </w:p>
  </w:footnote>
  <w:footnote w:type="continuationSeparator" w:id="0">
    <w:p w14:paraId="36BC3573" w14:textId="77777777" w:rsidR="0049264E" w:rsidRDefault="0049264E" w:rsidP="00A7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D253" w14:textId="77777777" w:rsidR="00A77D70" w:rsidRDefault="00A77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00783"/>
      <w:docPartObj>
        <w:docPartGallery w:val="Watermarks"/>
        <w:docPartUnique/>
      </w:docPartObj>
    </w:sdtPr>
    <w:sdtEndPr/>
    <w:sdtContent>
      <w:p w14:paraId="6D8A74B3" w14:textId="752D7614" w:rsidR="00A77D70" w:rsidRDefault="007154BE">
        <w:pPr>
          <w:pStyle w:val="Header"/>
        </w:pPr>
        <w:r>
          <w:pict w14:anchorId="70959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077B" w14:textId="77777777" w:rsidR="00A77D70" w:rsidRDefault="00A77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14C2"/>
    <w:multiLevelType w:val="hybridMultilevel"/>
    <w:tmpl w:val="74568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E16201"/>
    <w:multiLevelType w:val="multilevel"/>
    <w:tmpl w:val="FECA33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47E70CC"/>
    <w:multiLevelType w:val="multilevel"/>
    <w:tmpl w:val="345E4A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F37F1"/>
    <w:multiLevelType w:val="multilevel"/>
    <w:tmpl w:val="9796D3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A9E4465"/>
    <w:multiLevelType w:val="hybridMultilevel"/>
    <w:tmpl w:val="4F025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5124326">
    <w:abstractNumId w:val="2"/>
  </w:num>
  <w:num w:numId="2" w16cid:durableId="1848130852">
    <w:abstractNumId w:val="3"/>
  </w:num>
  <w:num w:numId="3" w16cid:durableId="503865295">
    <w:abstractNumId w:val="1"/>
  </w:num>
  <w:num w:numId="4" w16cid:durableId="2113357639">
    <w:abstractNumId w:val="0"/>
  </w:num>
  <w:num w:numId="5" w16cid:durableId="349794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05"/>
    <w:rsid w:val="00013114"/>
    <w:rsid w:val="00143D52"/>
    <w:rsid w:val="001A1C1F"/>
    <w:rsid w:val="00205BF4"/>
    <w:rsid w:val="00255F05"/>
    <w:rsid w:val="003124AE"/>
    <w:rsid w:val="003464EA"/>
    <w:rsid w:val="00416E41"/>
    <w:rsid w:val="00443DCA"/>
    <w:rsid w:val="00482C28"/>
    <w:rsid w:val="0049264E"/>
    <w:rsid w:val="004A117B"/>
    <w:rsid w:val="00583571"/>
    <w:rsid w:val="005951A8"/>
    <w:rsid w:val="005C0257"/>
    <w:rsid w:val="00636048"/>
    <w:rsid w:val="006C22BA"/>
    <w:rsid w:val="00704A5D"/>
    <w:rsid w:val="007154BE"/>
    <w:rsid w:val="007D01A9"/>
    <w:rsid w:val="0086529A"/>
    <w:rsid w:val="00A33B10"/>
    <w:rsid w:val="00A650DC"/>
    <w:rsid w:val="00A77D70"/>
    <w:rsid w:val="00A856DF"/>
    <w:rsid w:val="00AA49DB"/>
    <w:rsid w:val="00AE4C6D"/>
    <w:rsid w:val="00B55631"/>
    <w:rsid w:val="00BF7314"/>
    <w:rsid w:val="00C21BAE"/>
    <w:rsid w:val="00CA3FA0"/>
    <w:rsid w:val="00CA5003"/>
    <w:rsid w:val="00CE570C"/>
    <w:rsid w:val="00DA348C"/>
    <w:rsid w:val="00E93B4D"/>
    <w:rsid w:val="00F251F7"/>
    <w:rsid w:val="00F43A81"/>
    <w:rsid w:val="00F75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2D4C"/>
  <w15:chartTrackingRefBased/>
  <w15:docId w15:val="{A03F53DB-9C8E-48C8-A11F-DCC794DF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5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5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F05"/>
    <w:rPr>
      <w:rFonts w:eastAsiaTheme="majorEastAsia" w:cstheme="majorBidi"/>
      <w:color w:val="272727" w:themeColor="text1" w:themeTint="D8"/>
    </w:rPr>
  </w:style>
  <w:style w:type="paragraph" w:styleId="Title">
    <w:name w:val="Title"/>
    <w:basedOn w:val="Normal"/>
    <w:next w:val="Normal"/>
    <w:link w:val="TitleChar"/>
    <w:uiPriority w:val="10"/>
    <w:qFormat/>
    <w:rsid w:val="00255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F05"/>
    <w:pPr>
      <w:spacing w:before="160"/>
      <w:jc w:val="center"/>
    </w:pPr>
    <w:rPr>
      <w:i/>
      <w:iCs/>
      <w:color w:val="404040" w:themeColor="text1" w:themeTint="BF"/>
    </w:rPr>
  </w:style>
  <w:style w:type="character" w:customStyle="1" w:styleId="QuoteChar">
    <w:name w:val="Quote Char"/>
    <w:basedOn w:val="DefaultParagraphFont"/>
    <w:link w:val="Quote"/>
    <w:uiPriority w:val="29"/>
    <w:rsid w:val="00255F05"/>
    <w:rPr>
      <w:i/>
      <w:iCs/>
      <w:color w:val="404040" w:themeColor="text1" w:themeTint="BF"/>
    </w:rPr>
  </w:style>
  <w:style w:type="paragraph" w:styleId="ListParagraph">
    <w:name w:val="List Paragraph"/>
    <w:basedOn w:val="Normal"/>
    <w:uiPriority w:val="34"/>
    <w:qFormat/>
    <w:rsid w:val="00255F05"/>
    <w:pPr>
      <w:ind w:left="720"/>
      <w:contextualSpacing/>
    </w:pPr>
  </w:style>
  <w:style w:type="character" w:styleId="IntenseEmphasis">
    <w:name w:val="Intense Emphasis"/>
    <w:basedOn w:val="DefaultParagraphFont"/>
    <w:uiPriority w:val="21"/>
    <w:qFormat/>
    <w:rsid w:val="00255F05"/>
    <w:rPr>
      <w:i/>
      <w:iCs/>
      <w:color w:val="0F4761" w:themeColor="accent1" w:themeShade="BF"/>
    </w:rPr>
  </w:style>
  <w:style w:type="paragraph" w:styleId="IntenseQuote">
    <w:name w:val="Intense Quote"/>
    <w:basedOn w:val="Normal"/>
    <w:next w:val="Normal"/>
    <w:link w:val="IntenseQuoteChar"/>
    <w:uiPriority w:val="30"/>
    <w:qFormat/>
    <w:rsid w:val="0025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F05"/>
    <w:rPr>
      <w:i/>
      <w:iCs/>
      <w:color w:val="0F4761" w:themeColor="accent1" w:themeShade="BF"/>
    </w:rPr>
  </w:style>
  <w:style w:type="character" w:styleId="IntenseReference">
    <w:name w:val="Intense Reference"/>
    <w:basedOn w:val="DefaultParagraphFont"/>
    <w:uiPriority w:val="32"/>
    <w:qFormat/>
    <w:rsid w:val="00255F05"/>
    <w:rPr>
      <w:b/>
      <w:bCs/>
      <w:smallCaps/>
      <w:color w:val="0F4761" w:themeColor="accent1" w:themeShade="BF"/>
      <w:spacing w:val="5"/>
    </w:rPr>
  </w:style>
  <w:style w:type="paragraph" w:styleId="Header">
    <w:name w:val="header"/>
    <w:basedOn w:val="Normal"/>
    <w:link w:val="HeaderChar"/>
    <w:uiPriority w:val="99"/>
    <w:unhideWhenUsed/>
    <w:rsid w:val="00A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D70"/>
  </w:style>
  <w:style w:type="paragraph" w:styleId="Footer">
    <w:name w:val="footer"/>
    <w:basedOn w:val="Normal"/>
    <w:link w:val="FooterChar"/>
    <w:uiPriority w:val="99"/>
    <w:unhideWhenUsed/>
    <w:rsid w:val="00A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D70"/>
  </w:style>
  <w:style w:type="paragraph" w:styleId="Revision">
    <w:name w:val="Revision"/>
    <w:hidden/>
    <w:uiPriority w:val="99"/>
    <w:semiHidden/>
    <w:rsid w:val="00636048"/>
    <w:pPr>
      <w:spacing w:after="0" w:line="240" w:lineRule="auto"/>
    </w:pPr>
  </w:style>
  <w:style w:type="character" w:styleId="Hyperlink">
    <w:name w:val="Hyperlink"/>
    <w:basedOn w:val="DefaultParagraphFont"/>
    <w:uiPriority w:val="99"/>
    <w:unhideWhenUsed/>
    <w:rsid w:val="00A33B10"/>
    <w:rPr>
      <w:color w:val="467886" w:themeColor="hyperlink"/>
      <w:u w:val="single"/>
    </w:rPr>
  </w:style>
  <w:style w:type="character" w:styleId="UnresolvedMention">
    <w:name w:val="Unresolved Mention"/>
    <w:basedOn w:val="DefaultParagraphFont"/>
    <w:uiPriority w:val="99"/>
    <w:semiHidden/>
    <w:unhideWhenUsed/>
    <w:rsid w:val="00A33B10"/>
    <w:rPr>
      <w:color w:val="605E5C"/>
      <w:shd w:val="clear" w:color="auto" w:fill="E1DFDD"/>
    </w:rPr>
  </w:style>
  <w:style w:type="paragraph" w:customStyle="1" w:styleId="xmsonormal">
    <w:name w:val="x_msonormal"/>
    <w:basedOn w:val="Normal"/>
    <w:rsid w:val="00A33B10"/>
    <w:pPr>
      <w:spacing w:after="0" w:line="240" w:lineRule="auto"/>
    </w:pPr>
    <w:rPr>
      <w:rFonts w:ascii="Aptos" w:hAnsi="Aptos" w:cs="Aptos"/>
      <w:kern w:val="0"/>
      <w:lang w:eastAsia="en-GB"/>
      <w14:ligatures w14:val="none"/>
    </w:rPr>
  </w:style>
  <w:style w:type="table" w:styleId="TableGrid">
    <w:name w:val="Table Grid"/>
    <w:basedOn w:val="TableNormal"/>
    <w:uiPriority w:val="39"/>
    <w:rsid w:val="00CE5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ltenham.gov.uk/downloads/file/3378/sexual_entertainment_venues_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mocracy.cheltenham.gov.uk/ieListDocuments.aspx?CId=166&amp;MId=503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heltenham.gov.uk/downloads/file/3378/sexual_entertainment_venues_policy" TargetMode="External"/><Relationship Id="rId4" Type="http://schemas.openxmlformats.org/officeDocument/2006/relationships/webSettings" Target="webSettings.xml"/><Relationship Id="rId9" Type="http://schemas.openxmlformats.org/officeDocument/2006/relationships/hyperlink" Target="https://www.cheltenham.gov.uk/downloads/file/10406/map_of_purple_flag_are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5139</Characters>
  <Application>Microsoft Office Word</Application>
  <DocSecurity>0</DocSecurity>
  <Lines>151</Lines>
  <Paragraphs>61</Paragraphs>
  <ScaleCrop>false</ScaleCrop>
  <HeadingPairs>
    <vt:vector size="2" baseType="variant">
      <vt:variant>
        <vt:lpstr>Title</vt:lpstr>
      </vt:variant>
      <vt:variant>
        <vt:i4>1</vt:i4>
      </vt:variant>
    </vt:vector>
  </HeadingPairs>
  <TitlesOfParts>
    <vt:vector size="1" baseType="lpstr">
      <vt:lpstr/>
    </vt:vector>
  </TitlesOfParts>
  <Company>220ICT Shared Services</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Krog</dc:creator>
  <cp:keywords/>
  <dc:description/>
  <cp:lastModifiedBy>Jacob Doleman</cp:lastModifiedBy>
  <cp:revision>3</cp:revision>
  <dcterms:created xsi:type="dcterms:W3CDTF">2026-01-13T09:47:00Z</dcterms:created>
  <dcterms:modified xsi:type="dcterms:W3CDTF">2026-01-13T09:47:00Z</dcterms:modified>
</cp:coreProperties>
</file>