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384" w:rsidRDefault="005D2384" w:rsidP="00B26D7F">
      <w:pPr>
        <w:jc w:val="center"/>
        <w:rPr>
          <w:rFonts w:asciiTheme="minorHAnsi" w:hAnsiTheme="minorHAnsi"/>
          <w:b/>
          <w:sz w:val="32"/>
          <w:szCs w:val="32"/>
        </w:rPr>
      </w:pPr>
    </w:p>
    <w:p w:rsidR="0069720D" w:rsidRDefault="00B26D7F" w:rsidP="00B26D7F">
      <w:pPr>
        <w:jc w:val="center"/>
        <w:rPr>
          <w:rFonts w:asciiTheme="minorHAnsi" w:hAnsiTheme="minorHAnsi"/>
          <w:b/>
          <w:sz w:val="32"/>
          <w:szCs w:val="32"/>
        </w:rPr>
      </w:pPr>
      <w:r w:rsidRPr="00B26D7F">
        <w:rPr>
          <w:rFonts w:asciiTheme="minorHAnsi" w:hAnsiTheme="minorHAnsi"/>
          <w:b/>
          <w:sz w:val="32"/>
          <w:szCs w:val="32"/>
        </w:rPr>
        <w:t>CBC LOCAL PLAN 2011-20131 EXAMINATION</w:t>
      </w:r>
    </w:p>
    <w:p w:rsidR="00B26D7F" w:rsidRPr="00B26D7F" w:rsidRDefault="00B26D7F" w:rsidP="00B26D7F">
      <w:pPr>
        <w:jc w:val="center"/>
        <w:rPr>
          <w:rFonts w:asciiTheme="minorHAnsi" w:hAnsiTheme="minorHAnsi"/>
          <w:b/>
          <w:sz w:val="32"/>
          <w:szCs w:val="32"/>
        </w:rPr>
      </w:pPr>
      <w:r>
        <w:rPr>
          <w:rFonts w:asciiTheme="minorHAnsi" w:hAnsiTheme="minorHAnsi"/>
          <w:b/>
          <w:sz w:val="32"/>
          <w:szCs w:val="32"/>
        </w:rPr>
        <w:t>MATTER 4: GREEN BELT &amp; GREEN INFRASTRUCTURE</w:t>
      </w:r>
    </w:p>
    <w:p w:rsidR="00B26D7F" w:rsidRDefault="00B26D7F" w:rsidP="00B26D7F">
      <w:pPr>
        <w:jc w:val="center"/>
        <w:rPr>
          <w:rFonts w:asciiTheme="minorHAnsi" w:hAnsiTheme="minorHAnsi"/>
          <w:sz w:val="32"/>
          <w:szCs w:val="32"/>
        </w:rPr>
      </w:pPr>
      <w:r>
        <w:rPr>
          <w:rFonts w:asciiTheme="minorHAnsi" w:hAnsiTheme="minorHAnsi"/>
          <w:sz w:val="32"/>
          <w:szCs w:val="32"/>
        </w:rPr>
        <w:t>WRITTEN SUBMISSIONS ON BEHALF OF CHELTENHAM CRICKET CLUB</w:t>
      </w:r>
    </w:p>
    <w:p w:rsidR="00B26D7F" w:rsidRDefault="00B26D7F" w:rsidP="00B26D7F">
      <w:pPr>
        <w:jc w:val="center"/>
        <w:rPr>
          <w:rFonts w:asciiTheme="minorHAnsi" w:hAnsiTheme="minorHAnsi"/>
        </w:rPr>
      </w:pPr>
    </w:p>
    <w:p w:rsidR="00B26D7F" w:rsidRDefault="00B26D7F" w:rsidP="00B26D7F">
      <w:pPr>
        <w:ind w:left="709" w:hanging="709"/>
        <w:jc w:val="both"/>
        <w:rPr>
          <w:rFonts w:asciiTheme="minorHAnsi" w:hAnsiTheme="minorHAnsi"/>
          <w:b/>
        </w:rPr>
      </w:pPr>
      <w:r w:rsidRPr="00CD662F">
        <w:rPr>
          <w:rFonts w:asciiTheme="minorHAnsi" w:hAnsiTheme="minorHAnsi"/>
          <w:b/>
        </w:rPr>
        <w:t>1.</w:t>
      </w:r>
      <w:r w:rsidRPr="00CD662F">
        <w:rPr>
          <w:rFonts w:asciiTheme="minorHAnsi" w:hAnsiTheme="minorHAnsi"/>
          <w:b/>
        </w:rPr>
        <w:tab/>
        <w:t>INTRODUCTION</w:t>
      </w:r>
    </w:p>
    <w:p w:rsidR="008A0DD1" w:rsidRPr="00CD662F" w:rsidRDefault="008A0DD1" w:rsidP="00B26D7F">
      <w:pPr>
        <w:ind w:left="709" w:hanging="709"/>
        <w:jc w:val="both"/>
        <w:rPr>
          <w:rFonts w:asciiTheme="minorHAnsi" w:hAnsiTheme="minorHAnsi"/>
          <w:b/>
        </w:rPr>
      </w:pPr>
    </w:p>
    <w:p w:rsidR="00B26D7F" w:rsidRDefault="00B26D7F" w:rsidP="00B26D7F">
      <w:pPr>
        <w:ind w:left="709" w:hanging="709"/>
        <w:jc w:val="both"/>
        <w:rPr>
          <w:rFonts w:asciiTheme="minorHAnsi" w:hAnsiTheme="minorHAnsi"/>
        </w:rPr>
      </w:pPr>
      <w:r>
        <w:rPr>
          <w:rFonts w:asciiTheme="minorHAnsi" w:hAnsiTheme="minorHAnsi"/>
        </w:rPr>
        <w:t>1.1</w:t>
      </w:r>
      <w:r>
        <w:rPr>
          <w:rFonts w:asciiTheme="minorHAnsi" w:hAnsiTheme="minorHAnsi"/>
        </w:rPr>
        <w:tab/>
        <w:t xml:space="preserve">Cheltenham Cricket Club (“CCC”) </w:t>
      </w:r>
      <w:r w:rsidR="002F1F50">
        <w:rPr>
          <w:rFonts w:asciiTheme="minorHAnsi" w:hAnsiTheme="minorHAnsi"/>
        </w:rPr>
        <w:t>is</w:t>
      </w:r>
      <w:r>
        <w:rPr>
          <w:rFonts w:asciiTheme="minorHAnsi" w:hAnsiTheme="minorHAnsi"/>
        </w:rPr>
        <w:t xml:space="preserve"> the owner of </w:t>
      </w:r>
      <w:r w:rsidR="002F1F50">
        <w:rPr>
          <w:rFonts w:asciiTheme="minorHAnsi" w:hAnsiTheme="minorHAnsi"/>
        </w:rPr>
        <w:t>the</w:t>
      </w:r>
      <w:r>
        <w:rPr>
          <w:rFonts w:asciiTheme="minorHAnsi" w:hAnsiTheme="minorHAnsi"/>
        </w:rPr>
        <w:t xml:space="preserve"> cricket grounds and associated </w:t>
      </w:r>
      <w:r w:rsidR="00A958F5">
        <w:rPr>
          <w:rFonts w:asciiTheme="minorHAnsi" w:hAnsiTheme="minorHAnsi"/>
        </w:rPr>
        <w:t>club facilities</w:t>
      </w:r>
      <w:r w:rsidR="002F1F50">
        <w:rPr>
          <w:rFonts w:asciiTheme="minorHAnsi" w:hAnsiTheme="minorHAnsi"/>
        </w:rPr>
        <w:t xml:space="preserve"> at</w:t>
      </w:r>
      <w:r w:rsidR="00A958F5">
        <w:rPr>
          <w:rFonts w:asciiTheme="minorHAnsi" w:hAnsiTheme="minorHAnsi"/>
        </w:rPr>
        <w:t xml:space="preserve"> Victoria </w:t>
      </w:r>
      <w:r w:rsidR="002F1F50">
        <w:rPr>
          <w:rFonts w:asciiTheme="minorHAnsi" w:hAnsiTheme="minorHAnsi"/>
        </w:rPr>
        <w:t xml:space="preserve">Cricket </w:t>
      </w:r>
      <w:r w:rsidR="00A958F5">
        <w:rPr>
          <w:rFonts w:asciiTheme="minorHAnsi" w:hAnsiTheme="minorHAnsi"/>
        </w:rPr>
        <w:t>Grounds</w:t>
      </w:r>
      <w:r w:rsidR="002F1F50">
        <w:rPr>
          <w:rFonts w:asciiTheme="minorHAnsi" w:hAnsiTheme="minorHAnsi"/>
        </w:rPr>
        <w:t xml:space="preserve"> (“VCG”)</w:t>
      </w:r>
      <w:r w:rsidR="00A45C42">
        <w:rPr>
          <w:rFonts w:asciiTheme="minorHAnsi" w:hAnsiTheme="minorHAnsi"/>
        </w:rPr>
        <w:t xml:space="preserve"> Pr</w:t>
      </w:r>
      <w:r w:rsidR="00741BC2">
        <w:rPr>
          <w:rFonts w:asciiTheme="minorHAnsi" w:hAnsiTheme="minorHAnsi"/>
        </w:rPr>
        <w:t>inces Street Cheltenham GL52 6BE</w:t>
      </w:r>
      <w:r w:rsidR="002F1F50">
        <w:rPr>
          <w:rFonts w:asciiTheme="minorHAnsi" w:hAnsiTheme="minorHAnsi"/>
        </w:rPr>
        <w:t>. CCC made representations at the pre-submission consultation stage of the LP in February 2018.</w:t>
      </w:r>
      <w:r w:rsidR="009626F3">
        <w:rPr>
          <w:rFonts w:asciiTheme="minorHAnsi" w:hAnsiTheme="minorHAnsi"/>
        </w:rPr>
        <w:t xml:space="preserve"> [ID083- rep 1146]</w:t>
      </w:r>
    </w:p>
    <w:p w:rsidR="008A0DD1" w:rsidRDefault="008A0DD1" w:rsidP="00B26D7F">
      <w:pPr>
        <w:ind w:left="709" w:hanging="709"/>
        <w:jc w:val="both"/>
        <w:rPr>
          <w:rFonts w:asciiTheme="minorHAnsi" w:hAnsiTheme="minorHAnsi"/>
        </w:rPr>
      </w:pPr>
    </w:p>
    <w:p w:rsidR="00CD662F" w:rsidRDefault="00A45C42" w:rsidP="00B26D7F">
      <w:pPr>
        <w:ind w:left="709" w:hanging="709"/>
        <w:jc w:val="both"/>
        <w:rPr>
          <w:rFonts w:asciiTheme="minorHAnsi" w:hAnsiTheme="minorHAnsi"/>
        </w:rPr>
      </w:pPr>
      <w:r>
        <w:rPr>
          <w:rFonts w:asciiTheme="minorHAnsi" w:hAnsiTheme="minorHAnsi"/>
        </w:rPr>
        <w:t>1.2</w:t>
      </w:r>
      <w:r>
        <w:rPr>
          <w:rFonts w:asciiTheme="minorHAnsi" w:hAnsiTheme="minorHAnsi"/>
        </w:rPr>
        <w:tab/>
        <w:t>VCG is allocated in the emerging plan</w:t>
      </w:r>
      <w:r w:rsidR="00FD609C">
        <w:rPr>
          <w:rFonts w:asciiTheme="minorHAnsi" w:hAnsiTheme="minorHAnsi"/>
        </w:rPr>
        <w:t xml:space="preserve"> (“CP</w:t>
      </w:r>
      <w:r w:rsidR="00D33AFB">
        <w:rPr>
          <w:rFonts w:asciiTheme="minorHAnsi" w:hAnsiTheme="minorHAnsi"/>
        </w:rPr>
        <w:t>”)</w:t>
      </w:r>
      <w:r>
        <w:rPr>
          <w:rFonts w:asciiTheme="minorHAnsi" w:hAnsiTheme="minorHAnsi"/>
        </w:rPr>
        <w:t xml:space="preserve"> </w:t>
      </w:r>
      <w:r w:rsidR="00FD609C">
        <w:rPr>
          <w:rFonts w:asciiTheme="minorHAnsi" w:hAnsiTheme="minorHAnsi"/>
        </w:rPr>
        <w:t>as Local Green Space (“LGS”) and falling within the general definition</w:t>
      </w:r>
      <w:r>
        <w:rPr>
          <w:rFonts w:asciiTheme="minorHAnsi" w:hAnsiTheme="minorHAnsi"/>
        </w:rPr>
        <w:t xml:space="preserve"> of Green Infrastructure (“GI”)</w:t>
      </w:r>
      <w:r w:rsidR="00FD609C">
        <w:rPr>
          <w:rFonts w:asciiTheme="minorHAnsi" w:hAnsiTheme="minorHAnsi"/>
        </w:rPr>
        <w:t>. LGS is</w:t>
      </w:r>
      <w:r>
        <w:rPr>
          <w:rFonts w:asciiTheme="minorHAnsi" w:hAnsiTheme="minorHAnsi"/>
        </w:rPr>
        <w:t xml:space="preserve"> protected</w:t>
      </w:r>
      <w:r w:rsidR="00FD609C">
        <w:rPr>
          <w:rFonts w:asciiTheme="minorHAnsi" w:hAnsiTheme="minorHAnsi"/>
        </w:rPr>
        <w:t xml:space="preserve"> by Policy</w:t>
      </w:r>
      <w:r>
        <w:rPr>
          <w:rFonts w:asciiTheme="minorHAnsi" w:hAnsiTheme="minorHAnsi"/>
        </w:rPr>
        <w:t xml:space="preserve"> </w:t>
      </w:r>
      <w:r w:rsidR="00CD662F">
        <w:rPr>
          <w:rFonts w:asciiTheme="minorHAnsi" w:hAnsiTheme="minorHAnsi"/>
        </w:rPr>
        <w:t>GI1</w:t>
      </w:r>
      <w:r w:rsidR="001C4150">
        <w:rPr>
          <w:rFonts w:asciiTheme="minorHAnsi" w:hAnsiTheme="minorHAnsi"/>
        </w:rPr>
        <w:t xml:space="preserve"> and by national policy</w:t>
      </w:r>
      <w:r w:rsidR="00CD662F">
        <w:rPr>
          <w:rFonts w:asciiTheme="minorHAnsi" w:hAnsiTheme="minorHAnsi"/>
        </w:rPr>
        <w:t>.</w:t>
      </w:r>
      <w:r w:rsidR="00DF7698">
        <w:rPr>
          <w:rFonts w:asciiTheme="minorHAnsi" w:hAnsiTheme="minorHAnsi"/>
        </w:rPr>
        <w:t xml:space="preserve"> </w:t>
      </w:r>
      <w:r w:rsidR="00CD662F">
        <w:rPr>
          <w:rFonts w:asciiTheme="minorHAnsi" w:hAnsiTheme="minorHAnsi"/>
        </w:rPr>
        <w:t xml:space="preserve">The site is referred to in Table 8 (ref 9) in EB012/ EB015 </w:t>
      </w:r>
      <w:r w:rsidR="00FD609C">
        <w:rPr>
          <w:rFonts w:asciiTheme="minorHAnsi" w:hAnsiTheme="minorHAnsi"/>
        </w:rPr>
        <w:t>as Site</w:t>
      </w:r>
      <w:r w:rsidR="00CD662F">
        <w:rPr>
          <w:rFonts w:asciiTheme="minorHAnsi" w:hAnsiTheme="minorHAnsi"/>
        </w:rPr>
        <w:t xml:space="preserve"> ID 74</w:t>
      </w:r>
      <w:r w:rsidR="00DF7698">
        <w:rPr>
          <w:rFonts w:asciiTheme="minorHAnsi" w:hAnsiTheme="minorHAnsi"/>
        </w:rPr>
        <w:t>,</w:t>
      </w:r>
      <w:r w:rsidR="00CD662F">
        <w:rPr>
          <w:rFonts w:asciiTheme="minorHAnsi" w:hAnsiTheme="minorHAnsi"/>
        </w:rPr>
        <w:t xml:space="preserve"> and in EB021/EB022-Part2 as Site 2</w:t>
      </w:r>
      <w:r w:rsidR="00DF7698">
        <w:rPr>
          <w:rFonts w:asciiTheme="minorHAnsi" w:hAnsiTheme="minorHAnsi"/>
        </w:rPr>
        <w:t>.</w:t>
      </w:r>
    </w:p>
    <w:p w:rsidR="008A0DD1" w:rsidRDefault="008A0DD1" w:rsidP="00B26D7F">
      <w:pPr>
        <w:ind w:left="709" w:hanging="709"/>
        <w:jc w:val="both"/>
        <w:rPr>
          <w:rFonts w:asciiTheme="minorHAnsi" w:hAnsiTheme="minorHAnsi"/>
        </w:rPr>
      </w:pPr>
    </w:p>
    <w:p w:rsidR="008A0DD1" w:rsidRDefault="008A0DD1" w:rsidP="00B26D7F">
      <w:pPr>
        <w:ind w:left="709" w:hanging="709"/>
        <w:jc w:val="both"/>
        <w:rPr>
          <w:rFonts w:asciiTheme="minorHAnsi" w:hAnsiTheme="minorHAnsi"/>
        </w:rPr>
      </w:pPr>
      <w:r>
        <w:rPr>
          <w:rFonts w:asciiTheme="minorHAnsi" w:hAnsiTheme="minorHAnsi"/>
        </w:rPr>
        <w:t>1.3</w:t>
      </w:r>
      <w:r>
        <w:rPr>
          <w:rFonts w:asciiTheme="minorHAnsi" w:hAnsiTheme="minorHAnsi"/>
        </w:rPr>
        <w:tab/>
        <w:t>CCC maintains its objection to the designation of VCG as LGS and regards the Council’s response to the February 2018 submissions as inadequate and misplaced. It is regrettable that the Council has not seen fit to engage with the landowner</w:t>
      </w:r>
      <w:r w:rsidR="001374E3">
        <w:rPr>
          <w:rFonts w:asciiTheme="minorHAnsi" w:hAnsiTheme="minorHAnsi"/>
        </w:rPr>
        <w:t>.</w:t>
      </w:r>
    </w:p>
    <w:p w:rsidR="00B32FF7" w:rsidRDefault="00B32FF7" w:rsidP="00B32FF7">
      <w:pPr>
        <w:ind w:left="709" w:hanging="709"/>
        <w:jc w:val="both"/>
        <w:rPr>
          <w:rFonts w:asciiTheme="minorHAnsi" w:hAnsiTheme="minorHAnsi"/>
          <w:b/>
        </w:rPr>
      </w:pPr>
    </w:p>
    <w:p w:rsidR="00B32FF7" w:rsidRDefault="00CD662F" w:rsidP="00B32FF7">
      <w:pPr>
        <w:ind w:left="709" w:hanging="709"/>
        <w:jc w:val="both"/>
        <w:rPr>
          <w:rFonts w:asciiTheme="minorHAnsi" w:hAnsiTheme="minorHAnsi"/>
          <w:b/>
        </w:rPr>
      </w:pPr>
      <w:r>
        <w:rPr>
          <w:rFonts w:asciiTheme="minorHAnsi" w:hAnsiTheme="minorHAnsi"/>
          <w:b/>
        </w:rPr>
        <w:t>2</w:t>
      </w:r>
      <w:r>
        <w:rPr>
          <w:rFonts w:asciiTheme="minorHAnsi" w:hAnsiTheme="minorHAnsi"/>
          <w:b/>
        </w:rPr>
        <w:tab/>
      </w:r>
      <w:r w:rsidR="00E46C56">
        <w:rPr>
          <w:rFonts w:asciiTheme="minorHAnsi" w:hAnsiTheme="minorHAnsi"/>
          <w:b/>
        </w:rPr>
        <w:t>THE INSPECTOR’S GI QUESTIONS</w:t>
      </w:r>
    </w:p>
    <w:p w:rsidR="008A0DD1" w:rsidRDefault="008A0DD1" w:rsidP="00B32FF7">
      <w:pPr>
        <w:ind w:left="709" w:hanging="709"/>
        <w:jc w:val="both"/>
        <w:rPr>
          <w:rFonts w:asciiTheme="minorHAnsi" w:hAnsiTheme="minorHAnsi"/>
          <w:b/>
        </w:rPr>
      </w:pPr>
    </w:p>
    <w:p w:rsidR="00E46C56" w:rsidRDefault="00E46C56" w:rsidP="00B32FF7">
      <w:pPr>
        <w:ind w:left="709" w:hanging="709"/>
        <w:jc w:val="both"/>
        <w:rPr>
          <w:rFonts w:asciiTheme="minorHAnsi" w:hAnsiTheme="minorHAnsi"/>
        </w:rPr>
      </w:pPr>
      <w:r w:rsidRPr="00E46C56">
        <w:rPr>
          <w:rFonts w:asciiTheme="minorHAnsi" w:hAnsiTheme="minorHAnsi"/>
        </w:rPr>
        <w:t>2.1</w:t>
      </w:r>
      <w:r>
        <w:rPr>
          <w:rFonts w:asciiTheme="minorHAnsi" w:hAnsiTheme="minorHAnsi"/>
        </w:rPr>
        <w:tab/>
      </w:r>
      <w:r w:rsidRPr="00D33AFB">
        <w:rPr>
          <w:rFonts w:asciiTheme="minorHAnsi" w:hAnsiTheme="minorHAnsi"/>
          <w:b/>
        </w:rPr>
        <w:t>Q1</w:t>
      </w:r>
      <w:r w:rsidR="00D33AFB">
        <w:rPr>
          <w:rFonts w:asciiTheme="minorHAnsi" w:hAnsiTheme="minorHAnsi"/>
        </w:rPr>
        <w:t>. The CP seems to have adopted an “all or nothing” approach to GI through Policy GI1</w:t>
      </w:r>
      <w:r w:rsidR="0059089C">
        <w:rPr>
          <w:rFonts w:asciiTheme="minorHAnsi" w:hAnsiTheme="minorHAnsi"/>
        </w:rPr>
        <w:t xml:space="preserve">, casting its net widely and </w:t>
      </w:r>
      <w:r w:rsidR="00D33AFB">
        <w:rPr>
          <w:rFonts w:asciiTheme="minorHAnsi" w:hAnsiTheme="minorHAnsi"/>
        </w:rPr>
        <w:t>seek</w:t>
      </w:r>
      <w:r w:rsidR="0059089C">
        <w:rPr>
          <w:rFonts w:asciiTheme="minorHAnsi" w:hAnsiTheme="minorHAnsi"/>
        </w:rPr>
        <w:t>ing</w:t>
      </w:r>
      <w:r w:rsidR="00D33AFB">
        <w:rPr>
          <w:rFonts w:asciiTheme="minorHAnsi" w:hAnsiTheme="minorHAnsi"/>
        </w:rPr>
        <w:t xml:space="preserve"> formal </w:t>
      </w:r>
      <w:r w:rsidR="0059089C">
        <w:rPr>
          <w:rFonts w:asciiTheme="minorHAnsi" w:hAnsiTheme="minorHAnsi"/>
        </w:rPr>
        <w:t>designation</w:t>
      </w:r>
      <w:r w:rsidR="00D33AFB">
        <w:rPr>
          <w:rFonts w:asciiTheme="minorHAnsi" w:hAnsiTheme="minorHAnsi"/>
        </w:rPr>
        <w:t xml:space="preserve"> of all GI </w:t>
      </w:r>
      <w:r w:rsidR="00EE2E70">
        <w:rPr>
          <w:rFonts w:asciiTheme="minorHAnsi" w:hAnsiTheme="minorHAnsi"/>
        </w:rPr>
        <w:t>sites as LGS (listed in</w:t>
      </w:r>
      <w:r w:rsidR="00D33AFB">
        <w:rPr>
          <w:rFonts w:asciiTheme="minorHAnsi" w:hAnsiTheme="minorHAnsi"/>
        </w:rPr>
        <w:t xml:space="preserve"> Table 8</w:t>
      </w:r>
      <w:r w:rsidR="00EE2E70">
        <w:rPr>
          <w:rFonts w:asciiTheme="minorHAnsi" w:hAnsiTheme="minorHAnsi"/>
        </w:rPr>
        <w:t>)</w:t>
      </w:r>
      <w:r w:rsidR="00D33AFB">
        <w:rPr>
          <w:rFonts w:asciiTheme="minorHAnsi" w:hAnsiTheme="minorHAnsi"/>
        </w:rPr>
        <w:t>. The sites are numbered 1-84 (site 3 is missing = 83 sites total)</w:t>
      </w:r>
      <w:r w:rsidR="00786CE3">
        <w:rPr>
          <w:rFonts w:asciiTheme="minorHAnsi" w:hAnsiTheme="minorHAnsi"/>
        </w:rPr>
        <w:t xml:space="preserve">. </w:t>
      </w:r>
      <w:r w:rsidR="00D33AFB">
        <w:rPr>
          <w:rFonts w:asciiTheme="minorHAnsi" w:hAnsiTheme="minorHAnsi"/>
        </w:rPr>
        <w:t xml:space="preserve"> GI1 does not interpret JCS policy </w:t>
      </w:r>
      <w:r w:rsidR="0044231A">
        <w:rPr>
          <w:rFonts w:asciiTheme="minorHAnsi" w:hAnsiTheme="minorHAnsi"/>
        </w:rPr>
        <w:t>INF3;</w:t>
      </w:r>
      <w:r w:rsidR="00D33AFB">
        <w:rPr>
          <w:rFonts w:asciiTheme="minorHAnsi" w:hAnsiTheme="minorHAnsi"/>
        </w:rPr>
        <w:t xml:space="preserve"> it is an entirely different policy</w:t>
      </w:r>
      <w:r w:rsidR="00786CE3">
        <w:rPr>
          <w:rFonts w:asciiTheme="minorHAnsi" w:hAnsiTheme="minorHAnsi"/>
        </w:rPr>
        <w:t xml:space="preserve">. There are policy options open to CBC to deliver multifunctional, linked green corridors. LGS designation is not a necessary pre-requisite.  Given the protection afforded by LGS its designation ought to </w:t>
      </w:r>
      <w:r w:rsidR="00EE2E70">
        <w:rPr>
          <w:rFonts w:asciiTheme="minorHAnsi" w:hAnsiTheme="minorHAnsi"/>
        </w:rPr>
        <w:t xml:space="preserve">be </w:t>
      </w:r>
      <w:r w:rsidR="00786CE3">
        <w:rPr>
          <w:rFonts w:asciiTheme="minorHAnsi" w:hAnsiTheme="minorHAnsi"/>
        </w:rPr>
        <w:t xml:space="preserve">a “high hurdle” in the same way </w:t>
      </w:r>
      <w:r w:rsidR="0059089C">
        <w:rPr>
          <w:rFonts w:asciiTheme="minorHAnsi" w:hAnsiTheme="minorHAnsi"/>
        </w:rPr>
        <w:t>that national designation</w:t>
      </w:r>
      <w:r w:rsidR="00EE2E70">
        <w:rPr>
          <w:rFonts w:asciiTheme="minorHAnsi" w:hAnsiTheme="minorHAnsi"/>
        </w:rPr>
        <w:t>s</w:t>
      </w:r>
      <w:r w:rsidR="00786CE3">
        <w:rPr>
          <w:rFonts w:asciiTheme="minorHAnsi" w:hAnsiTheme="minorHAnsi"/>
        </w:rPr>
        <w:t xml:space="preserve"> </w:t>
      </w:r>
      <w:r w:rsidR="00786CE3">
        <w:rPr>
          <w:rFonts w:asciiTheme="minorHAnsi" w:hAnsiTheme="minorHAnsi"/>
        </w:rPr>
        <w:lastRenderedPageBreak/>
        <w:t>e.g. AONB and Green Belt</w:t>
      </w:r>
      <w:r w:rsidR="0059089C">
        <w:rPr>
          <w:rFonts w:asciiTheme="minorHAnsi" w:hAnsiTheme="minorHAnsi"/>
        </w:rPr>
        <w:t>,</w:t>
      </w:r>
      <w:r w:rsidR="00786CE3">
        <w:rPr>
          <w:rFonts w:asciiTheme="minorHAnsi" w:hAnsiTheme="minorHAnsi"/>
        </w:rPr>
        <w:t xml:space="preserve"> need to meet special </w:t>
      </w:r>
      <w:r w:rsidR="0059089C">
        <w:rPr>
          <w:rFonts w:asciiTheme="minorHAnsi" w:hAnsiTheme="minorHAnsi"/>
        </w:rPr>
        <w:t>criteria to</w:t>
      </w:r>
      <w:r w:rsidR="00786CE3">
        <w:rPr>
          <w:rFonts w:asciiTheme="minorHAnsi" w:hAnsiTheme="minorHAnsi"/>
        </w:rPr>
        <w:t xml:space="preserve"> </w:t>
      </w:r>
      <w:r w:rsidR="0059089C">
        <w:rPr>
          <w:rFonts w:asciiTheme="minorHAnsi" w:hAnsiTheme="minorHAnsi"/>
        </w:rPr>
        <w:t>warrant</w:t>
      </w:r>
      <w:r w:rsidR="00786CE3">
        <w:rPr>
          <w:rFonts w:asciiTheme="minorHAnsi" w:hAnsiTheme="minorHAnsi"/>
        </w:rPr>
        <w:t xml:space="preserve"> designation. </w:t>
      </w:r>
      <w:r w:rsidR="0059089C">
        <w:rPr>
          <w:rFonts w:asciiTheme="minorHAnsi" w:hAnsiTheme="minorHAnsi"/>
        </w:rPr>
        <w:t>NPPF paragraph 77 makes this clear.</w:t>
      </w:r>
      <w:r w:rsidR="00CA7757">
        <w:rPr>
          <w:rFonts w:asciiTheme="minorHAnsi" w:hAnsiTheme="minorHAnsi"/>
        </w:rPr>
        <w:t xml:space="preserve"> NPP</w:t>
      </w:r>
      <w:r w:rsidR="00F373B0">
        <w:rPr>
          <w:rFonts w:asciiTheme="minorHAnsi" w:hAnsiTheme="minorHAnsi"/>
        </w:rPr>
        <w:t>G advises</w:t>
      </w:r>
      <w:r w:rsidR="00FA540D">
        <w:rPr>
          <w:rFonts w:asciiTheme="minorHAnsi" w:hAnsiTheme="minorHAnsi"/>
        </w:rPr>
        <w:t xml:space="preserve"> on GI</w:t>
      </w:r>
      <w:r w:rsidR="00F373B0">
        <w:rPr>
          <w:rFonts w:asciiTheme="minorHAnsi" w:hAnsiTheme="minorHAnsi"/>
        </w:rPr>
        <w:t>:</w:t>
      </w:r>
    </w:p>
    <w:p w:rsidR="00F373B0" w:rsidRPr="00F373B0" w:rsidRDefault="00F373B0" w:rsidP="00F373B0">
      <w:pPr>
        <w:ind w:left="709" w:hanging="709"/>
        <w:jc w:val="both"/>
        <w:rPr>
          <w:rFonts w:asciiTheme="minorHAnsi" w:hAnsiTheme="minorHAnsi"/>
          <w:i/>
        </w:rPr>
      </w:pPr>
      <w:r>
        <w:rPr>
          <w:rFonts w:asciiTheme="minorHAnsi" w:hAnsiTheme="minorHAnsi"/>
        </w:rPr>
        <w:tab/>
      </w:r>
      <w:r>
        <w:rPr>
          <w:rFonts w:asciiTheme="minorHAnsi" w:hAnsiTheme="minorHAnsi"/>
        </w:rPr>
        <w:tab/>
      </w:r>
      <w:r>
        <w:rPr>
          <w:rFonts w:asciiTheme="minorHAnsi" w:hAnsiTheme="minorHAnsi"/>
        </w:rPr>
        <w:tab/>
      </w:r>
      <w:r w:rsidRPr="00F373B0">
        <w:rPr>
          <w:rFonts w:asciiTheme="minorHAnsi" w:hAnsiTheme="minorHAnsi"/>
          <w:i/>
        </w:rPr>
        <w:t xml:space="preserve">Green infrastructure is a network of multifunctional green space, urban and </w:t>
      </w:r>
      <w:r w:rsidRPr="00F373B0">
        <w:rPr>
          <w:rFonts w:asciiTheme="minorHAnsi" w:hAnsiTheme="minorHAnsi"/>
          <w:i/>
        </w:rPr>
        <w:tab/>
      </w:r>
      <w:r w:rsidRPr="00F373B0">
        <w:rPr>
          <w:rFonts w:asciiTheme="minorHAnsi" w:hAnsiTheme="minorHAnsi"/>
          <w:i/>
        </w:rPr>
        <w:tab/>
        <w:t xml:space="preserve">rural, which is capable of delivering a wide range of environmental and </w:t>
      </w:r>
      <w:r w:rsidRPr="00F373B0">
        <w:rPr>
          <w:rFonts w:asciiTheme="minorHAnsi" w:hAnsiTheme="minorHAnsi"/>
          <w:i/>
        </w:rPr>
        <w:tab/>
      </w:r>
      <w:r w:rsidRPr="00F373B0">
        <w:rPr>
          <w:rFonts w:asciiTheme="minorHAnsi" w:hAnsiTheme="minorHAnsi"/>
          <w:i/>
        </w:rPr>
        <w:tab/>
      </w:r>
      <w:r w:rsidRPr="00F373B0">
        <w:rPr>
          <w:rFonts w:asciiTheme="minorHAnsi" w:hAnsiTheme="minorHAnsi"/>
          <w:i/>
        </w:rPr>
        <w:tab/>
        <w:t>quality of life benefits for local communities.</w:t>
      </w:r>
    </w:p>
    <w:p w:rsidR="00F373B0" w:rsidRPr="00F373B0" w:rsidRDefault="00F373B0" w:rsidP="00F373B0">
      <w:pPr>
        <w:ind w:left="709" w:hanging="709"/>
        <w:jc w:val="both"/>
        <w:rPr>
          <w:rFonts w:asciiTheme="minorHAnsi" w:hAnsiTheme="minorHAnsi"/>
          <w:i/>
        </w:rPr>
      </w:pPr>
      <w:r w:rsidRPr="00F373B0">
        <w:rPr>
          <w:rFonts w:asciiTheme="minorHAnsi" w:hAnsiTheme="minorHAnsi"/>
          <w:i/>
        </w:rPr>
        <w:tab/>
      </w:r>
      <w:r w:rsidRPr="00F373B0">
        <w:rPr>
          <w:rFonts w:asciiTheme="minorHAnsi" w:hAnsiTheme="minorHAnsi"/>
          <w:i/>
        </w:rPr>
        <w:tab/>
      </w:r>
      <w:r w:rsidRPr="00F373B0">
        <w:rPr>
          <w:rFonts w:asciiTheme="minorHAnsi" w:hAnsiTheme="minorHAnsi"/>
          <w:i/>
        </w:rPr>
        <w:tab/>
        <w:t xml:space="preserve">Green infrastructure is not simply an alternative description for conventional </w:t>
      </w:r>
      <w:r w:rsidRPr="00F373B0">
        <w:rPr>
          <w:rFonts w:asciiTheme="minorHAnsi" w:hAnsiTheme="minorHAnsi"/>
          <w:i/>
        </w:rPr>
        <w:tab/>
      </w:r>
      <w:r w:rsidRPr="00F373B0">
        <w:rPr>
          <w:rFonts w:asciiTheme="minorHAnsi" w:hAnsiTheme="minorHAnsi"/>
          <w:i/>
        </w:rPr>
        <w:tab/>
        <w:t xml:space="preserve">open space. As a network it includes parks, open spaces, playing fields, </w:t>
      </w:r>
      <w:r w:rsidRPr="00F373B0">
        <w:rPr>
          <w:rFonts w:asciiTheme="minorHAnsi" w:hAnsiTheme="minorHAnsi"/>
          <w:i/>
        </w:rPr>
        <w:tab/>
      </w:r>
      <w:r w:rsidRPr="00F373B0">
        <w:rPr>
          <w:rFonts w:asciiTheme="minorHAnsi" w:hAnsiTheme="minorHAnsi"/>
          <w:i/>
        </w:rPr>
        <w:tab/>
      </w:r>
      <w:r w:rsidRPr="00F373B0">
        <w:rPr>
          <w:rFonts w:asciiTheme="minorHAnsi" w:hAnsiTheme="minorHAnsi"/>
          <w:i/>
        </w:rPr>
        <w:tab/>
        <w:t xml:space="preserve">woodlands, but also street trees, allotments and private gardens. It can also </w:t>
      </w:r>
      <w:r w:rsidRPr="00F373B0">
        <w:rPr>
          <w:rFonts w:asciiTheme="minorHAnsi" w:hAnsiTheme="minorHAnsi"/>
          <w:i/>
        </w:rPr>
        <w:tab/>
      </w:r>
      <w:r w:rsidRPr="00F373B0">
        <w:rPr>
          <w:rFonts w:asciiTheme="minorHAnsi" w:hAnsiTheme="minorHAnsi"/>
          <w:i/>
        </w:rPr>
        <w:tab/>
        <w:t xml:space="preserve">include streams, canals and other water bodies and features such as green </w:t>
      </w:r>
      <w:r w:rsidRPr="00F373B0">
        <w:rPr>
          <w:rFonts w:asciiTheme="minorHAnsi" w:hAnsiTheme="minorHAnsi"/>
          <w:i/>
        </w:rPr>
        <w:tab/>
      </w:r>
      <w:r w:rsidRPr="00F373B0">
        <w:rPr>
          <w:rFonts w:asciiTheme="minorHAnsi" w:hAnsiTheme="minorHAnsi"/>
          <w:i/>
        </w:rPr>
        <w:tab/>
        <w:t>roofs and walls.</w:t>
      </w:r>
    </w:p>
    <w:p w:rsidR="00F373B0" w:rsidRPr="00E46C56" w:rsidRDefault="00F373B0" w:rsidP="00B32FF7">
      <w:pPr>
        <w:ind w:left="709" w:hanging="709"/>
        <w:jc w:val="both"/>
        <w:rPr>
          <w:rFonts w:asciiTheme="minorHAnsi" w:hAnsiTheme="minorHAnsi"/>
        </w:rPr>
      </w:pPr>
      <w:r>
        <w:rPr>
          <w:rFonts w:asciiTheme="minorHAnsi" w:hAnsiTheme="minorHAnsi"/>
        </w:rPr>
        <w:tab/>
        <w:t xml:space="preserve">CBC’s approach is not </w:t>
      </w:r>
      <w:r w:rsidR="00C04E11">
        <w:rPr>
          <w:rFonts w:asciiTheme="minorHAnsi" w:hAnsiTheme="minorHAnsi"/>
        </w:rPr>
        <w:t>consistent</w:t>
      </w:r>
      <w:r w:rsidR="00A67186">
        <w:rPr>
          <w:rFonts w:asciiTheme="minorHAnsi" w:hAnsiTheme="minorHAnsi"/>
        </w:rPr>
        <w:t xml:space="preserve"> with </w:t>
      </w:r>
      <w:r w:rsidR="001C6937">
        <w:rPr>
          <w:rFonts w:asciiTheme="minorHAnsi" w:hAnsiTheme="minorHAnsi"/>
        </w:rPr>
        <w:t>this</w:t>
      </w:r>
      <w:r w:rsidR="00551CC3">
        <w:rPr>
          <w:rFonts w:asciiTheme="minorHAnsi" w:hAnsiTheme="minorHAnsi"/>
        </w:rPr>
        <w:t xml:space="preserve"> guidance</w:t>
      </w:r>
      <w:r w:rsidR="001C6937">
        <w:rPr>
          <w:rFonts w:asciiTheme="minorHAnsi" w:hAnsiTheme="minorHAnsi"/>
        </w:rPr>
        <w:t>.</w:t>
      </w:r>
    </w:p>
    <w:p w:rsidR="00B32FF7" w:rsidRDefault="00B32FF7" w:rsidP="00B32FF7">
      <w:pPr>
        <w:ind w:left="709" w:hanging="709"/>
        <w:jc w:val="both"/>
        <w:rPr>
          <w:rFonts w:asciiTheme="minorHAnsi" w:hAnsiTheme="minorHAnsi"/>
          <w:b/>
        </w:rPr>
      </w:pPr>
    </w:p>
    <w:p w:rsidR="00B32FF7" w:rsidRPr="00FA540D" w:rsidRDefault="00930533" w:rsidP="00B32FF7">
      <w:pPr>
        <w:ind w:left="709" w:hanging="709"/>
        <w:jc w:val="both"/>
        <w:rPr>
          <w:rFonts w:asciiTheme="minorHAnsi" w:hAnsiTheme="minorHAnsi"/>
        </w:rPr>
      </w:pPr>
      <w:r w:rsidRPr="00930533">
        <w:rPr>
          <w:rFonts w:asciiTheme="minorHAnsi" w:hAnsiTheme="minorHAnsi"/>
        </w:rPr>
        <w:t>2.2</w:t>
      </w:r>
      <w:r w:rsidR="00FA540D">
        <w:rPr>
          <w:rFonts w:asciiTheme="minorHAnsi" w:hAnsiTheme="minorHAnsi"/>
          <w:b/>
        </w:rPr>
        <w:tab/>
      </w:r>
      <w:r w:rsidR="00FA540D" w:rsidRPr="00FA540D">
        <w:rPr>
          <w:rFonts w:asciiTheme="minorHAnsi" w:hAnsiTheme="minorHAnsi"/>
        </w:rPr>
        <w:t>NPPG</w:t>
      </w:r>
      <w:r w:rsidR="00134287">
        <w:rPr>
          <w:rFonts w:asciiTheme="minorHAnsi" w:hAnsiTheme="minorHAnsi"/>
        </w:rPr>
        <w:t xml:space="preserve"> (extracts)</w:t>
      </w:r>
      <w:r w:rsidR="00FA540D" w:rsidRPr="00FA540D">
        <w:rPr>
          <w:rFonts w:asciiTheme="minorHAnsi" w:hAnsiTheme="minorHAnsi"/>
        </w:rPr>
        <w:t xml:space="preserve"> advice on LGS</w:t>
      </w:r>
      <w:r w:rsidR="00FA540D">
        <w:rPr>
          <w:rFonts w:asciiTheme="minorHAnsi" w:hAnsiTheme="minorHAnsi"/>
        </w:rPr>
        <w:t>:</w:t>
      </w:r>
    </w:p>
    <w:p w:rsidR="00B32FF7" w:rsidRDefault="00C04E11" w:rsidP="00B32FF7">
      <w:pPr>
        <w:ind w:left="709" w:hanging="709"/>
        <w:jc w:val="both"/>
        <w:rPr>
          <w:rFonts w:asciiTheme="minorHAnsi" w:hAnsiTheme="minorHAnsi"/>
        </w:rPr>
      </w:pPr>
      <w:r>
        <w:rPr>
          <w:rFonts w:asciiTheme="minorHAnsi" w:hAnsiTheme="minorHAnsi"/>
        </w:rPr>
        <w:tab/>
      </w:r>
      <w:r w:rsidR="00FA540D">
        <w:rPr>
          <w:rFonts w:asciiTheme="minorHAnsi" w:hAnsiTheme="minorHAnsi"/>
        </w:rPr>
        <w:tab/>
      </w:r>
      <w:r>
        <w:rPr>
          <w:rFonts w:asciiTheme="minorHAnsi" w:hAnsiTheme="minorHAnsi"/>
        </w:rPr>
        <w:tab/>
      </w:r>
      <w:r w:rsidRPr="00FA540D">
        <w:rPr>
          <w:rFonts w:asciiTheme="minorHAnsi" w:hAnsiTheme="minorHAnsi"/>
          <w:i/>
        </w:rPr>
        <w:t xml:space="preserve">Local Green Space designation is a way to provide </w:t>
      </w:r>
      <w:r w:rsidRPr="00FA540D">
        <w:rPr>
          <w:rFonts w:asciiTheme="minorHAnsi" w:hAnsiTheme="minorHAnsi"/>
          <w:i/>
          <w:u w:val="single"/>
        </w:rPr>
        <w:t>special</w:t>
      </w:r>
      <w:r w:rsidRPr="00FA540D">
        <w:rPr>
          <w:rFonts w:asciiTheme="minorHAnsi" w:hAnsiTheme="minorHAnsi"/>
          <w:i/>
        </w:rPr>
        <w:t xml:space="preserve"> protection against </w:t>
      </w:r>
      <w:r w:rsidR="00FA540D" w:rsidRPr="00FA540D">
        <w:rPr>
          <w:rFonts w:asciiTheme="minorHAnsi" w:hAnsiTheme="minorHAnsi"/>
          <w:i/>
        </w:rPr>
        <w:tab/>
      </w:r>
      <w:r w:rsidR="00FA540D" w:rsidRPr="00FA540D">
        <w:rPr>
          <w:rFonts w:asciiTheme="minorHAnsi" w:hAnsiTheme="minorHAnsi"/>
          <w:i/>
        </w:rPr>
        <w:tab/>
      </w:r>
      <w:r w:rsidRPr="00FA540D">
        <w:rPr>
          <w:rFonts w:asciiTheme="minorHAnsi" w:hAnsiTheme="minorHAnsi"/>
          <w:i/>
        </w:rPr>
        <w:t xml:space="preserve">development for green areas of particular importance to local </w:t>
      </w:r>
      <w:r w:rsidR="00FA540D">
        <w:rPr>
          <w:rFonts w:asciiTheme="minorHAnsi" w:hAnsiTheme="minorHAnsi"/>
          <w:i/>
        </w:rPr>
        <w:tab/>
      </w:r>
      <w:r w:rsidR="00FA540D">
        <w:rPr>
          <w:rFonts w:asciiTheme="minorHAnsi" w:hAnsiTheme="minorHAnsi"/>
          <w:i/>
        </w:rPr>
        <w:tab/>
      </w:r>
      <w:r w:rsidR="00FA540D">
        <w:rPr>
          <w:rFonts w:asciiTheme="minorHAnsi" w:hAnsiTheme="minorHAnsi"/>
          <w:i/>
        </w:rPr>
        <w:tab/>
      </w:r>
      <w:r w:rsidR="00FA540D">
        <w:rPr>
          <w:rFonts w:asciiTheme="minorHAnsi" w:hAnsiTheme="minorHAnsi"/>
          <w:i/>
        </w:rPr>
        <w:tab/>
      </w:r>
      <w:r w:rsidRPr="00FA540D">
        <w:rPr>
          <w:rFonts w:asciiTheme="minorHAnsi" w:hAnsiTheme="minorHAnsi"/>
          <w:i/>
        </w:rPr>
        <w:t>communities</w:t>
      </w:r>
      <w:r w:rsidR="00FA540D" w:rsidRPr="00FA540D">
        <w:rPr>
          <w:rFonts w:asciiTheme="minorHAnsi" w:hAnsiTheme="minorHAnsi"/>
        </w:rPr>
        <w:t>. (My emphasis)</w:t>
      </w:r>
    </w:p>
    <w:p w:rsidR="00FA540D" w:rsidRPr="00FA540D" w:rsidRDefault="00FA540D" w:rsidP="00B32FF7">
      <w:pPr>
        <w:ind w:left="709" w:hanging="709"/>
        <w:jc w:val="both"/>
        <w:rPr>
          <w:rFonts w:asciiTheme="minorHAnsi" w:hAnsiTheme="minorHAnsi"/>
          <w:i/>
        </w:rPr>
      </w:pPr>
      <w:r>
        <w:rPr>
          <w:rFonts w:asciiTheme="minorHAnsi" w:hAnsiTheme="minorHAnsi"/>
        </w:rPr>
        <w:tab/>
      </w:r>
      <w:r>
        <w:rPr>
          <w:rFonts w:asciiTheme="minorHAnsi" w:hAnsiTheme="minorHAnsi"/>
        </w:rPr>
        <w:tab/>
      </w:r>
      <w:r>
        <w:rPr>
          <w:rFonts w:asciiTheme="minorHAnsi" w:hAnsiTheme="minorHAnsi"/>
        </w:rPr>
        <w:tab/>
      </w:r>
      <w:r w:rsidRPr="00FA540D">
        <w:rPr>
          <w:rFonts w:asciiTheme="minorHAnsi" w:hAnsiTheme="minorHAnsi"/>
          <w:i/>
        </w:rPr>
        <w:t xml:space="preserve">Designating any Local Green Space will need to be consistent with local </w:t>
      </w:r>
      <w:r w:rsidRPr="00FA540D">
        <w:rPr>
          <w:rFonts w:asciiTheme="minorHAnsi" w:hAnsiTheme="minorHAnsi"/>
          <w:i/>
        </w:rPr>
        <w:tab/>
      </w:r>
      <w:r w:rsidRPr="00FA540D">
        <w:rPr>
          <w:rFonts w:asciiTheme="minorHAnsi" w:hAnsiTheme="minorHAnsi"/>
          <w:i/>
        </w:rPr>
        <w:tab/>
      </w:r>
      <w:r w:rsidRPr="00FA540D">
        <w:rPr>
          <w:rFonts w:asciiTheme="minorHAnsi" w:hAnsiTheme="minorHAnsi"/>
          <w:i/>
        </w:rPr>
        <w:tab/>
        <w:t xml:space="preserve">planning for sustainable development in the area. In particular, plans must </w:t>
      </w:r>
      <w:r w:rsidRPr="00FA540D">
        <w:rPr>
          <w:rFonts w:asciiTheme="minorHAnsi" w:hAnsiTheme="minorHAnsi"/>
          <w:i/>
        </w:rPr>
        <w:tab/>
      </w:r>
      <w:r w:rsidRPr="00FA540D">
        <w:rPr>
          <w:rFonts w:asciiTheme="minorHAnsi" w:hAnsiTheme="minorHAnsi"/>
          <w:i/>
        </w:rPr>
        <w:tab/>
        <w:t xml:space="preserve">identify sufficient land in suitable locations to meet identified development </w:t>
      </w:r>
      <w:r w:rsidRPr="00FA540D">
        <w:rPr>
          <w:rFonts w:asciiTheme="minorHAnsi" w:hAnsiTheme="minorHAnsi"/>
          <w:i/>
        </w:rPr>
        <w:tab/>
      </w:r>
      <w:r w:rsidRPr="00FA540D">
        <w:rPr>
          <w:rFonts w:asciiTheme="minorHAnsi" w:hAnsiTheme="minorHAnsi"/>
          <w:i/>
        </w:rPr>
        <w:tab/>
        <w:t xml:space="preserve">needs and the Local Green Space designation </w:t>
      </w:r>
      <w:r w:rsidRPr="00FA540D">
        <w:rPr>
          <w:rFonts w:asciiTheme="minorHAnsi" w:hAnsiTheme="minorHAnsi"/>
          <w:i/>
          <w:u w:val="single"/>
        </w:rPr>
        <w:t xml:space="preserve">should not be used in a way </w:t>
      </w:r>
      <w:r w:rsidRPr="00FA540D">
        <w:rPr>
          <w:rFonts w:asciiTheme="minorHAnsi" w:hAnsiTheme="minorHAnsi"/>
          <w:i/>
          <w:u w:val="single"/>
        </w:rPr>
        <w:tab/>
      </w:r>
      <w:r w:rsidRPr="00FA540D">
        <w:rPr>
          <w:rFonts w:asciiTheme="minorHAnsi" w:hAnsiTheme="minorHAnsi"/>
          <w:i/>
        </w:rPr>
        <w:tab/>
      </w:r>
      <w:r w:rsidRPr="00FA540D">
        <w:rPr>
          <w:rFonts w:asciiTheme="minorHAnsi" w:hAnsiTheme="minorHAnsi"/>
          <w:i/>
        </w:rPr>
        <w:tab/>
      </w:r>
      <w:r w:rsidRPr="00FA540D">
        <w:rPr>
          <w:rFonts w:asciiTheme="minorHAnsi" w:hAnsiTheme="minorHAnsi"/>
          <w:i/>
          <w:u w:val="single"/>
        </w:rPr>
        <w:t>that undermines this aim of plan making</w:t>
      </w:r>
      <w:r w:rsidRPr="00FA540D">
        <w:rPr>
          <w:rFonts w:asciiTheme="minorHAnsi" w:hAnsiTheme="minorHAnsi"/>
          <w:u w:val="single"/>
        </w:rPr>
        <w:t>.</w:t>
      </w:r>
      <w:r>
        <w:rPr>
          <w:rFonts w:asciiTheme="minorHAnsi" w:hAnsiTheme="minorHAnsi"/>
        </w:rPr>
        <w:t xml:space="preserve"> (My emphasis)</w:t>
      </w:r>
    </w:p>
    <w:p w:rsidR="00B32FF7" w:rsidRPr="00FA540D" w:rsidRDefault="00FA540D" w:rsidP="00B32FF7">
      <w:pPr>
        <w:ind w:left="709" w:hanging="709"/>
        <w:jc w:val="both"/>
        <w:rPr>
          <w:rFonts w:asciiTheme="minorHAnsi" w:hAnsiTheme="minorHAnsi"/>
          <w:i/>
        </w:rPr>
      </w:pPr>
      <w:r>
        <w:rPr>
          <w:rFonts w:asciiTheme="minorHAnsi" w:hAnsiTheme="minorHAnsi"/>
          <w:b/>
        </w:rPr>
        <w:tab/>
      </w:r>
      <w:r>
        <w:rPr>
          <w:rFonts w:asciiTheme="minorHAnsi" w:hAnsiTheme="minorHAnsi"/>
          <w:b/>
        </w:rPr>
        <w:tab/>
      </w:r>
      <w:r>
        <w:rPr>
          <w:rFonts w:asciiTheme="minorHAnsi" w:hAnsiTheme="minorHAnsi"/>
          <w:b/>
        </w:rPr>
        <w:tab/>
      </w:r>
      <w:r w:rsidRPr="00FA540D">
        <w:rPr>
          <w:rFonts w:asciiTheme="minorHAnsi" w:hAnsiTheme="minorHAnsi"/>
          <w:i/>
        </w:rPr>
        <w:t xml:space="preserve">Local Green Spaces may be designated where those spaces </w:t>
      </w:r>
      <w:r w:rsidRPr="00FA540D">
        <w:rPr>
          <w:rFonts w:asciiTheme="minorHAnsi" w:hAnsiTheme="minorHAnsi"/>
          <w:i/>
          <w:u w:val="single"/>
        </w:rPr>
        <w:t xml:space="preserve">are demonstrably </w:t>
      </w:r>
      <w:r w:rsidRPr="00FA540D">
        <w:rPr>
          <w:rFonts w:asciiTheme="minorHAnsi" w:hAnsiTheme="minorHAnsi"/>
          <w:i/>
        </w:rPr>
        <w:tab/>
      </w:r>
      <w:r w:rsidRPr="00FA540D">
        <w:rPr>
          <w:rFonts w:asciiTheme="minorHAnsi" w:hAnsiTheme="minorHAnsi"/>
          <w:i/>
        </w:rPr>
        <w:tab/>
      </w:r>
      <w:r w:rsidRPr="00FA540D">
        <w:rPr>
          <w:rFonts w:asciiTheme="minorHAnsi" w:hAnsiTheme="minorHAnsi"/>
          <w:i/>
          <w:u w:val="single"/>
        </w:rPr>
        <w:t>special</w:t>
      </w:r>
      <w:r w:rsidRPr="00FA540D">
        <w:rPr>
          <w:rFonts w:asciiTheme="minorHAnsi" w:hAnsiTheme="minorHAnsi"/>
          <w:i/>
        </w:rPr>
        <w:t xml:space="preserve"> to the local community, whether in a village or in a neighbourhood in </w:t>
      </w:r>
      <w:r>
        <w:rPr>
          <w:rFonts w:asciiTheme="minorHAnsi" w:hAnsiTheme="minorHAnsi"/>
          <w:i/>
        </w:rPr>
        <w:tab/>
      </w:r>
      <w:r>
        <w:rPr>
          <w:rFonts w:asciiTheme="minorHAnsi" w:hAnsiTheme="minorHAnsi"/>
          <w:i/>
        </w:rPr>
        <w:tab/>
      </w:r>
      <w:r w:rsidRPr="00FA540D">
        <w:rPr>
          <w:rFonts w:asciiTheme="minorHAnsi" w:hAnsiTheme="minorHAnsi"/>
          <w:i/>
        </w:rPr>
        <w:t>a town or city.</w:t>
      </w:r>
      <w:r>
        <w:rPr>
          <w:rFonts w:asciiTheme="minorHAnsi" w:hAnsiTheme="minorHAnsi"/>
          <w:i/>
        </w:rPr>
        <w:t xml:space="preserve"> </w:t>
      </w:r>
      <w:r w:rsidRPr="00FA540D">
        <w:rPr>
          <w:rFonts w:asciiTheme="minorHAnsi" w:hAnsiTheme="minorHAnsi"/>
        </w:rPr>
        <w:t>(My emphasis)</w:t>
      </w:r>
    </w:p>
    <w:p w:rsidR="00134287" w:rsidRPr="00134287" w:rsidRDefault="00134287" w:rsidP="00134287">
      <w:pPr>
        <w:ind w:left="709" w:hanging="709"/>
        <w:jc w:val="both"/>
        <w:rPr>
          <w:rFonts w:asciiTheme="minorHAnsi" w:hAnsiTheme="minorHAnsi"/>
          <w:i/>
        </w:rPr>
      </w:pPr>
      <w:r>
        <w:rPr>
          <w:rFonts w:asciiTheme="minorHAnsi" w:hAnsiTheme="minorHAnsi"/>
          <w:b/>
        </w:rPr>
        <w:tab/>
      </w:r>
      <w:r>
        <w:rPr>
          <w:rFonts w:asciiTheme="minorHAnsi" w:hAnsiTheme="minorHAnsi"/>
          <w:b/>
        </w:rPr>
        <w:tab/>
      </w:r>
      <w:r>
        <w:rPr>
          <w:rFonts w:asciiTheme="minorHAnsi" w:hAnsiTheme="minorHAnsi"/>
          <w:b/>
        </w:rPr>
        <w:tab/>
      </w:r>
      <w:r w:rsidRPr="00134287">
        <w:rPr>
          <w:rFonts w:asciiTheme="minorHAnsi" w:hAnsiTheme="minorHAnsi"/>
          <w:i/>
        </w:rPr>
        <w:t xml:space="preserve">Some areas that may be considered for designation as Local Green Space </w:t>
      </w:r>
      <w:r w:rsidRPr="00134287">
        <w:rPr>
          <w:rFonts w:asciiTheme="minorHAnsi" w:hAnsiTheme="minorHAnsi"/>
          <w:i/>
        </w:rPr>
        <w:tab/>
      </w:r>
      <w:r w:rsidRPr="00134287">
        <w:rPr>
          <w:rFonts w:asciiTheme="minorHAnsi" w:hAnsiTheme="minorHAnsi"/>
          <w:i/>
        </w:rPr>
        <w:tab/>
      </w:r>
      <w:r>
        <w:rPr>
          <w:rFonts w:asciiTheme="minorHAnsi" w:hAnsiTheme="minorHAnsi"/>
          <w:i/>
        </w:rPr>
        <w:tab/>
      </w:r>
      <w:r w:rsidRPr="00134287">
        <w:rPr>
          <w:rFonts w:asciiTheme="minorHAnsi" w:hAnsiTheme="minorHAnsi"/>
          <w:i/>
        </w:rPr>
        <w:t xml:space="preserve">may already have largely unrestricted public access, though even in places </w:t>
      </w:r>
      <w:r w:rsidRPr="00134287">
        <w:rPr>
          <w:rFonts w:asciiTheme="minorHAnsi" w:hAnsiTheme="minorHAnsi"/>
          <w:i/>
        </w:rPr>
        <w:tab/>
      </w:r>
      <w:r w:rsidRPr="00134287">
        <w:rPr>
          <w:rFonts w:asciiTheme="minorHAnsi" w:hAnsiTheme="minorHAnsi"/>
          <w:i/>
        </w:rPr>
        <w:tab/>
        <w:t xml:space="preserve">like parks there may be some restrictions. However, other land could be </w:t>
      </w:r>
      <w:r w:rsidRPr="00134287">
        <w:rPr>
          <w:rFonts w:asciiTheme="minorHAnsi" w:hAnsiTheme="minorHAnsi"/>
          <w:i/>
        </w:rPr>
        <w:tab/>
      </w:r>
      <w:r>
        <w:rPr>
          <w:rFonts w:asciiTheme="minorHAnsi" w:hAnsiTheme="minorHAnsi"/>
          <w:i/>
        </w:rPr>
        <w:tab/>
      </w:r>
      <w:r w:rsidRPr="00134287">
        <w:rPr>
          <w:rFonts w:asciiTheme="minorHAnsi" w:hAnsiTheme="minorHAnsi"/>
          <w:i/>
        </w:rPr>
        <w:tab/>
        <w:t xml:space="preserve">considered for designation even if there is no public access (eg green areas </w:t>
      </w:r>
      <w:r w:rsidRPr="00134287">
        <w:rPr>
          <w:rFonts w:asciiTheme="minorHAnsi" w:hAnsiTheme="minorHAnsi"/>
          <w:i/>
        </w:rPr>
        <w:tab/>
      </w:r>
      <w:r w:rsidRPr="00134287">
        <w:rPr>
          <w:rFonts w:asciiTheme="minorHAnsi" w:hAnsiTheme="minorHAnsi"/>
          <w:i/>
        </w:rPr>
        <w:tab/>
        <w:t xml:space="preserve">which are valued because of their wildlife, historic significance and/or </w:t>
      </w:r>
      <w:r w:rsidRPr="00134287">
        <w:rPr>
          <w:rFonts w:asciiTheme="minorHAnsi" w:hAnsiTheme="minorHAnsi"/>
          <w:i/>
        </w:rPr>
        <w:tab/>
      </w:r>
      <w:r w:rsidRPr="00134287">
        <w:rPr>
          <w:rFonts w:asciiTheme="minorHAnsi" w:hAnsiTheme="minorHAnsi"/>
          <w:i/>
        </w:rPr>
        <w:tab/>
      </w:r>
      <w:r w:rsidRPr="00134287">
        <w:rPr>
          <w:rFonts w:asciiTheme="minorHAnsi" w:hAnsiTheme="minorHAnsi"/>
          <w:i/>
        </w:rPr>
        <w:tab/>
        <w:t>beauty).</w:t>
      </w:r>
    </w:p>
    <w:p w:rsidR="00134287" w:rsidRDefault="00134287" w:rsidP="00134287">
      <w:pPr>
        <w:ind w:left="709" w:hanging="709"/>
        <w:jc w:val="both"/>
        <w:rPr>
          <w:rFonts w:asciiTheme="minorHAnsi" w:hAnsiTheme="minorHAnsi"/>
          <w:i/>
        </w:rPr>
      </w:pPr>
      <w:r w:rsidRPr="00134287">
        <w:rPr>
          <w:rFonts w:asciiTheme="minorHAnsi" w:hAnsiTheme="minorHAnsi"/>
          <w:i/>
        </w:rPr>
        <w:tab/>
      </w:r>
      <w:r w:rsidRPr="00134287">
        <w:rPr>
          <w:rFonts w:asciiTheme="minorHAnsi" w:hAnsiTheme="minorHAnsi"/>
          <w:i/>
        </w:rPr>
        <w:tab/>
      </w:r>
      <w:r w:rsidRPr="00134287">
        <w:rPr>
          <w:rFonts w:asciiTheme="minorHAnsi" w:hAnsiTheme="minorHAnsi"/>
          <w:i/>
        </w:rPr>
        <w:tab/>
        <w:t xml:space="preserve">Designation does not in itself confer any rights of public access over what </w:t>
      </w:r>
      <w:r w:rsidRPr="00134287">
        <w:rPr>
          <w:rFonts w:asciiTheme="minorHAnsi" w:hAnsiTheme="minorHAnsi"/>
          <w:i/>
        </w:rPr>
        <w:tab/>
      </w:r>
      <w:r w:rsidRPr="00134287">
        <w:rPr>
          <w:rFonts w:asciiTheme="minorHAnsi" w:hAnsiTheme="minorHAnsi"/>
          <w:i/>
        </w:rPr>
        <w:tab/>
      </w:r>
      <w:r>
        <w:rPr>
          <w:rFonts w:asciiTheme="minorHAnsi" w:hAnsiTheme="minorHAnsi"/>
          <w:i/>
        </w:rPr>
        <w:tab/>
      </w:r>
      <w:r w:rsidRPr="00134287">
        <w:rPr>
          <w:rFonts w:asciiTheme="minorHAnsi" w:hAnsiTheme="minorHAnsi"/>
          <w:i/>
        </w:rPr>
        <w:t xml:space="preserve">exists at present. Any additional access would be a matter for separate </w:t>
      </w:r>
      <w:r w:rsidRPr="00134287">
        <w:rPr>
          <w:rFonts w:asciiTheme="minorHAnsi" w:hAnsiTheme="minorHAnsi"/>
          <w:i/>
        </w:rPr>
        <w:tab/>
      </w:r>
      <w:r w:rsidRPr="00134287">
        <w:rPr>
          <w:rFonts w:asciiTheme="minorHAnsi" w:hAnsiTheme="minorHAnsi"/>
          <w:i/>
        </w:rPr>
        <w:tab/>
      </w:r>
      <w:r w:rsidRPr="00134287">
        <w:rPr>
          <w:rFonts w:asciiTheme="minorHAnsi" w:hAnsiTheme="minorHAnsi"/>
          <w:i/>
        </w:rPr>
        <w:tab/>
        <w:t>negotiation with land owners, whose legal rights must be respected.</w:t>
      </w:r>
    </w:p>
    <w:p w:rsidR="00263D02" w:rsidRDefault="00966E45" w:rsidP="00134287">
      <w:pPr>
        <w:ind w:left="709" w:hanging="709"/>
        <w:jc w:val="both"/>
        <w:rPr>
          <w:rFonts w:asciiTheme="minorHAnsi" w:hAnsiTheme="minorHAnsi"/>
        </w:rPr>
      </w:pPr>
      <w:r>
        <w:rPr>
          <w:rFonts w:asciiTheme="minorHAnsi" w:hAnsiTheme="minorHAnsi"/>
          <w:i/>
        </w:rPr>
        <w:tab/>
      </w:r>
      <w:r>
        <w:rPr>
          <w:rFonts w:asciiTheme="minorHAnsi" w:hAnsiTheme="minorHAnsi"/>
          <w:i/>
        </w:rPr>
        <w:tab/>
      </w:r>
      <w:r>
        <w:rPr>
          <w:rFonts w:asciiTheme="minorHAnsi" w:hAnsiTheme="minorHAnsi"/>
          <w:i/>
        </w:rPr>
        <w:tab/>
      </w:r>
      <w:r w:rsidRPr="00966E45">
        <w:rPr>
          <w:rFonts w:asciiTheme="minorHAnsi" w:hAnsiTheme="minorHAnsi"/>
          <w:i/>
        </w:rPr>
        <w:t xml:space="preserve">A Local Green Space does not need to be in public ownership. </w:t>
      </w:r>
      <w:r w:rsidRPr="00966E45">
        <w:rPr>
          <w:rFonts w:asciiTheme="minorHAnsi" w:hAnsiTheme="minorHAnsi"/>
          <w:i/>
          <w:u w:val="single"/>
        </w:rPr>
        <w:t xml:space="preserve">However, the </w:t>
      </w:r>
      <w:r w:rsidRPr="00966E45">
        <w:rPr>
          <w:rFonts w:asciiTheme="minorHAnsi" w:hAnsiTheme="minorHAnsi"/>
          <w:i/>
        </w:rPr>
        <w:tab/>
      </w:r>
      <w:r w:rsidRPr="00966E45">
        <w:rPr>
          <w:rFonts w:asciiTheme="minorHAnsi" w:hAnsiTheme="minorHAnsi"/>
          <w:i/>
        </w:rPr>
        <w:tab/>
      </w:r>
      <w:r w:rsidRPr="00966E45">
        <w:rPr>
          <w:rFonts w:asciiTheme="minorHAnsi" w:hAnsiTheme="minorHAnsi"/>
          <w:i/>
          <w:u w:val="single"/>
        </w:rPr>
        <w:t xml:space="preserve">local planning authority (in the case of local plan making) or the qualifying </w:t>
      </w:r>
      <w:r w:rsidRPr="00966E45">
        <w:rPr>
          <w:rFonts w:asciiTheme="minorHAnsi" w:hAnsiTheme="minorHAnsi"/>
          <w:i/>
        </w:rPr>
        <w:tab/>
      </w:r>
      <w:r w:rsidRPr="00966E45">
        <w:rPr>
          <w:rFonts w:asciiTheme="minorHAnsi" w:hAnsiTheme="minorHAnsi"/>
          <w:i/>
        </w:rPr>
        <w:tab/>
      </w:r>
      <w:r w:rsidRPr="00966E45">
        <w:rPr>
          <w:rFonts w:asciiTheme="minorHAnsi" w:hAnsiTheme="minorHAnsi"/>
          <w:i/>
          <w:u w:val="single"/>
        </w:rPr>
        <w:t xml:space="preserve">body (in the case of neighbourhood plan making) should contact landowners </w:t>
      </w:r>
      <w:r w:rsidRPr="00966E45">
        <w:rPr>
          <w:rFonts w:asciiTheme="minorHAnsi" w:hAnsiTheme="minorHAnsi"/>
          <w:i/>
        </w:rPr>
        <w:tab/>
      </w:r>
      <w:r w:rsidRPr="00966E45">
        <w:rPr>
          <w:rFonts w:asciiTheme="minorHAnsi" w:hAnsiTheme="minorHAnsi"/>
          <w:i/>
        </w:rPr>
        <w:tab/>
      </w:r>
      <w:r w:rsidRPr="00966E45">
        <w:rPr>
          <w:rFonts w:asciiTheme="minorHAnsi" w:hAnsiTheme="minorHAnsi"/>
          <w:i/>
          <w:u w:val="single"/>
        </w:rPr>
        <w:t xml:space="preserve">at an early stage about proposals to designate any part of their land as Local </w:t>
      </w:r>
      <w:r w:rsidRPr="00966E45">
        <w:rPr>
          <w:rFonts w:asciiTheme="minorHAnsi" w:hAnsiTheme="minorHAnsi"/>
          <w:i/>
        </w:rPr>
        <w:tab/>
      </w:r>
      <w:r w:rsidRPr="00966E45">
        <w:rPr>
          <w:rFonts w:asciiTheme="minorHAnsi" w:hAnsiTheme="minorHAnsi"/>
          <w:i/>
        </w:rPr>
        <w:tab/>
      </w:r>
      <w:r w:rsidRPr="00966E45">
        <w:rPr>
          <w:rFonts w:asciiTheme="minorHAnsi" w:hAnsiTheme="minorHAnsi"/>
          <w:i/>
          <w:u w:val="single"/>
        </w:rPr>
        <w:t>Green Space</w:t>
      </w:r>
      <w:r w:rsidRPr="00966E45">
        <w:rPr>
          <w:rFonts w:asciiTheme="minorHAnsi" w:hAnsiTheme="minorHAnsi"/>
          <w:i/>
        </w:rPr>
        <w:t xml:space="preserve">. Landowners will have opportunities to make representations in </w:t>
      </w:r>
      <w:r>
        <w:rPr>
          <w:rFonts w:asciiTheme="minorHAnsi" w:hAnsiTheme="minorHAnsi"/>
          <w:i/>
        </w:rPr>
        <w:tab/>
      </w:r>
      <w:r>
        <w:rPr>
          <w:rFonts w:asciiTheme="minorHAnsi" w:hAnsiTheme="minorHAnsi"/>
          <w:i/>
        </w:rPr>
        <w:tab/>
      </w:r>
      <w:r w:rsidRPr="00966E45">
        <w:rPr>
          <w:rFonts w:asciiTheme="minorHAnsi" w:hAnsiTheme="minorHAnsi"/>
          <w:i/>
        </w:rPr>
        <w:t>respect of proposals in a draft plan.</w:t>
      </w:r>
      <w:r>
        <w:rPr>
          <w:rFonts w:asciiTheme="minorHAnsi" w:hAnsiTheme="minorHAnsi"/>
          <w:i/>
        </w:rPr>
        <w:t xml:space="preserve"> </w:t>
      </w:r>
      <w:r w:rsidRPr="00966E45">
        <w:rPr>
          <w:rFonts w:asciiTheme="minorHAnsi" w:hAnsiTheme="minorHAnsi"/>
        </w:rPr>
        <w:t>(My emphasis</w:t>
      </w:r>
      <w:r w:rsidR="0010219A">
        <w:rPr>
          <w:rFonts w:asciiTheme="minorHAnsi" w:hAnsiTheme="minorHAnsi"/>
        </w:rPr>
        <w:t>)</w:t>
      </w:r>
    </w:p>
    <w:p w:rsidR="00263D02" w:rsidRDefault="00263D02" w:rsidP="00134287">
      <w:pPr>
        <w:ind w:left="709" w:hanging="709"/>
        <w:jc w:val="both"/>
        <w:rPr>
          <w:rFonts w:asciiTheme="minorHAnsi" w:hAnsiTheme="minorHAnsi"/>
        </w:rPr>
      </w:pPr>
    </w:p>
    <w:p w:rsidR="00966E45" w:rsidRDefault="00930533" w:rsidP="00134287">
      <w:pPr>
        <w:ind w:left="709" w:hanging="709"/>
        <w:jc w:val="both"/>
        <w:rPr>
          <w:rFonts w:asciiTheme="minorHAnsi" w:hAnsiTheme="minorHAnsi"/>
        </w:rPr>
      </w:pPr>
      <w:r>
        <w:rPr>
          <w:rFonts w:asciiTheme="minorHAnsi" w:hAnsiTheme="minorHAnsi"/>
        </w:rPr>
        <w:t>2.3</w:t>
      </w:r>
      <w:r w:rsidR="00B20D50">
        <w:rPr>
          <w:rFonts w:asciiTheme="minorHAnsi" w:hAnsiTheme="minorHAnsi"/>
        </w:rPr>
        <w:tab/>
      </w:r>
      <w:r w:rsidR="00966E45">
        <w:rPr>
          <w:rFonts w:asciiTheme="minorHAnsi" w:hAnsiTheme="minorHAnsi"/>
        </w:rPr>
        <w:t xml:space="preserve"> </w:t>
      </w:r>
      <w:r w:rsidR="00B20D50">
        <w:rPr>
          <w:rFonts w:asciiTheme="minorHAnsi" w:hAnsiTheme="minorHAnsi"/>
        </w:rPr>
        <w:t>CBC</w:t>
      </w:r>
      <w:r w:rsidR="00966E45">
        <w:rPr>
          <w:rFonts w:asciiTheme="minorHAnsi" w:hAnsiTheme="minorHAnsi"/>
        </w:rPr>
        <w:t xml:space="preserve"> has made no contact with </w:t>
      </w:r>
      <w:r w:rsidR="00263D02">
        <w:rPr>
          <w:rFonts w:asciiTheme="minorHAnsi" w:hAnsiTheme="minorHAnsi"/>
        </w:rPr>
        <w:t>C</w:t>
      </w:r>
      <w:r w:rsidR="00966E45">
        <w:rPr>
          <w:rFonts w:asciiTheme="minorHAnsi" w:hAnsiTheme="minorHAnsi"/>
        </w:rPr>
        <w:t xml:space="preserve">CC (the landowner) and had </w:t>
      </w:r>
      <w:r w:rsidR="00263D02">
        <w:rPr>
          <w:rFonts w:asciiTheme="minorHAnsi" w:hAnsiTheme="minorHAnsi"/>
        </w:rPr>
        <w:t xml:space="preserve">simply </w:t>
      </w:r>
      <w:r w:rsidR="00966E45">
        <w:rPr>
          <w:rFonts w:asciiTheme="minorHAnsi" w:hAnsiTheme="minorHAnsi"/>
        </w:rPr>
        <w:t xml:space="preserve">relied on </w:t>
      </w:r>
      <w:r w:rsidR="00263D02">
        <w:rPr>
          <w:rFonts w:asciiTheme="minorHAnsi" w:hAnsiTheme="minorHAnsi"/>
        </w:rPr>
        <w:t xml:space="preserve">(factually incorrect) </w:t>
      </w:r>
      <w:r w:rsidR="0023731F">
        <w:rPr>
          <w:rFonts w:asciiTheme="minorHAnsi" w:hAnsiTheme="minorHAnsi"/>
        </w:rPr>
        <w:t xml:space="preserve">untested </w:t>
      </w:r>
      <w:r w:rsidR="00966E45">
        <w:rPr>
          <w:rFonts w:asciiTheme="minorHAnsi" w:hAnsiTheme="minorHAnsi"/>
        </w:rPr>
        <w:t xml:space="preserve">information provided by Fairview </w:t>
      </w:r>
      <w:r w:rsidR="00263D02">
        <w:rPr>
          <w:rFonts w:asciiTheme="minorHAnsi" w:hAnsiTheme="minorHAnsi"/>
        </w:rPr>
        <w:t>Community</w:t>
      </w:r>
      <w:r w:rsidR="00966E45">
        <w:rPr>
          <w:rFonts w:asciiTheme="minorHAnsi" w:hAnsiTheme="minorHAnsi"/>
        </w:rPr>
        <w:t xml:space="preserve"> Association (“F</w:t>
      </w:r>
      <w:r w:rsidR="00263D02">
        <w:rPr>
          <w:rFonts w:asciiTheme="minorHAnsi" w:hAnsiTheme="minorHAnsi"/>
        </w:rPr>
        <w:t>C</w:t>
      </w:r>
      <w:r w:rsidR="00966E45">
        <w:rPr>
          <w:rFonts w:asciiTheme="minorHAnsi" w:hAnsiTheme="minorHAnsi"/>
        </w:rPr>
        <w:t>A”)</w:t>
      </w:r>
    </w:p>
    <w:p w:rsidR="00930533" w:rsidRPr="00263D02" w:rsidRDefault="00930533" w:rsidP="00134287">
      <w:pPr>
        <w:ind w:left="709" w:hanging="709"/>
        <w:jc w:val="both"/>
        <w:rPr>
          <w:rFonts w:asciiTheme="minorHAnsi" w:hAnsiTheme="minorHAnsi"/>
        </w:rPr>
      </w:pPr>
    </w:p>
    <w:p w:rsidR="00B32FF7" w:rsidRDefault="0010219A" w:rsidP="00B32FF7">
      <w:pPr>
        <w:ind w:left="709" w:hanging="709"/>
        <w:jc w:val="both"/>
        <w:rPr>
          <w:rFonts w:asciiTheme="minorHAnsi" w:hAnsiTheme="minorHAnsi"/>
        </w:rPr>
      </w:pPr>
      <w:r w:rsidRPr="0010219A">
        <w:rPr>
          <w:rFonts w:asciiTheme="minorHAnsi" w:hAnsiTheme="minorHAnsi"/>
        </w:rPr>
        <w:t>2.</w:t>
      </w:r>
      <w:r w:rsidR="00930533">
        <w:rPr>
          <w:rFonts w:asciiTheme="minorHAnsi" w:hAnsiTheme="minorHAnsi"/>
        </w:rPr>
        <w:t>4</w:t>
      </w:r>
      <w:r>
        <w:rPr>
          <w:rFonts w:asciiTheme="minorHAnsi" w:hAnsiTheme="minorHAnsi"/>
          <w:b/>
        </w:rPr>
        <w:t xml:space="preserve"> </w:t>
      </w:r>
      <w:r>
        <w:rPr>
          <w:rFonts w:asciiTheme="minorHAnsi" w:hAnsiTheme="minorHAnsi"/>
          <w:b/>
        </w:rPr>
        <w:tab/>
        <w:t xml:space="preserve">Q2. </w:t>
      </w:r>
      <w:r w:rsidRPr="0010219A">
        <w:rPr>
          <w:rFonts w:asciiTheme="minorHAnsi" w:hAnsiTheme="minorHAnsi"/>
        </w:rPr>
        <w:t>It is not known how many landowners have not been consu</w:t>
      </w:r>
      <w:r>
        <w:rPr>
          <w:rFonts w:asciiTheme="minorHAnsi" w:hAnsiTheme="minorHAnsi"/>
        </w:rPr>
        <w:t>l</w:t>
      </w:r>
      <w:r w:rsidRPr="0010219A">
        <w:rPr>
          <w:rFonts w:asciiTheme="minorHAnsi" w:hAnsiTheme="minorHAnsi"/>
        </w:rPr>
        <w:t>ted</w:t>
      </w:r>
      <w:r>
        <w:rPr>
          <w:rFonts w:asciiTheme="minorHAnsi" w:hAnsiTheme="minorHAnsi"/>
        </w:rPr>
        <w:t xml:space="preserve"> but it would appear that CBC has taken at face value information provided by other parties (e.g. Residents or Community Associations). It is a fact that CCC was not consulted</w:t>
      </w:r>
      <w:r w:rsidR="00C71EA5">
        <w:rPr>
          <w:rFonts w:asciiTheme="minorHAnsi" w:hAnsiTheme="minorHAnsi"/>
        </w:rPr>
        <w:t xml:space="preserve"> by CBC</w:t>
      </w:r>
      <w:r>
        <w:rPr>
          <w:rFonts w:asciiTheme="minorHAnsi" w:hAnsiTheme="minorHAnsi"/>
        </w:rPr>
        <w:t>.</w:t>
      </w:r>
    </w:p>
    <w:p w:rsidR="00623EF7" w:rsidRDefault="00623EF7" w:rsidP="00B32FF7">
      <w:pPr>
        <w:ind w:left="709" w:hanging="709"/>
        <w:jc w:val="both"/>
        <w:rPr>
          <w:rFonts w:asciiTheme="minorHAnsi" w:hAnsiTheme="minorHAnsi"/>
        </w:rPr>
      </w:pPr>
    </w:p>
    <w:p w:rsidR="0010219A" w:rsidRDefault="00930533" w:rsidP="00B32FF7">
      <w:pPr>
        <w:ind w:left="709" w:hanging="709"/>
        <w:jc w:val="both"/>
        <w:rPr>
          <w:rFonts w:asciiTheme="minorHAnsi" w:hAnsiTheme="minorHAnsi"/>
        </w:rPr>
      </w:pPr>
      <w:r>
        <w:rPr>
          <w:rFonts w:asciiTheme="minorHAnsi" w:hAnsiTheme="minorHAnsi"/>
        </w:rPr>
        <w:t>2.5</w:t>
      </w:r>
      <w:r w:rsidR="0010219A">
        <w:rPr>
          <w:rFonts w:asciiTheme="minorHAnsi" w:hAnsiTheme="minorHAnsi"/>
        </w:rPr>
        <w:tab/>
      </w:r>
      <w:r w:rsidR="0010219A" w:rsidRPr="0010219A">
        <w:rPr>
          <w:rFonts w:asciiTheme="minorHAnsi" w:hAnsiTheme="minorHAnsi"/>
          <w:b/>
        </w:rPr>
        <w:t>Q3.</w:t>
      </w:r>
      <w:r w:rsidR="0010219A">
        <w:rPr>
          <w:rFonts w:asciiTheme="minorHAnsi" w:hAnsiTheme="minorHAnsi"/>
        </w:rPr>
        <w:t xml:space="preserve"> CBC’s study Reports EB021 &amp; EB022 (Part 1 &amp; Part 2) need to be read in association, but also together with EB012 and EB015. The reports rely on older base data including that contained in Topic Paper NS007. </w:t>
      </w:r>
      <w:r w:rsidR="00615296">
        <w:rPr>
          <w:rFonts w:asciiTheme="minorHAnsi" w:hAnsiTheme="minorHAnsi"/>
        </w:rPr>
        <w:t>It is not clear why NS007 is not a library document. The study reports should be read in conjunction with national planning policy, but should also have regard to other national policy e.g. Sport England Playing Fields Policy &amp; Guidance March 2018. The Sport England policy has been carefully conceived to include relevant and important exceptions to playing fields use</w:t>
      </w:r>
      <w:r w:rsidR="00945C1C">
        <w:rPr>
          <w:rFonts w:asciiTheme="minorHAnsi" w:hAnsiTheme="minorHAnsi"/>
        </w:rPr>
        <w:t>,</w:t>
      </w:r>
      <w:r w:rsidR="00615296">
        <w:rPr>
          <w:rFonts w:asciiTheme="minorHAnsi" w:hAnsiTheme="minorHAnsi"/>
        </w:rPr>
        <w:t xml:space="preserve"> or redevelopment</w:t>
      </w:r>
      <w:r w:rsidR="00945C1C">
        <w:rPr>
          <w:rFonts w:asciiTheme="minorHAnsi" w:hAnsiTheme="minorHAnsi"/>
        </w:rPr>
        <w:t>,</w:t>
      </w:r>
      <w:r w:rsidR="00615296">
        <w:rPr>
          <w:rFonts w:asciiTheme="minorHAnsi" w:hAnsiTheme="minorHAnsi"/>
        </w:rPr>
        <w:t xml:space="preserve"> taking account of the interests of sport as an integral, and important, component in the planning balance. </w:t>
      </w:r>
    </w:p>
    <w:p w:rsidR="00930533" w:rsidRDefault="00930533" w:rsidP="00B32FF7">
      <w:pPr>
        <w:ind w:left="709" w:hanging="709"/>
        <w:jc w:val="both"/>
        <w:rPr>
          <w:rFonts w:asciiTheme="minorHAnsi" w:hAnsiTheme="minorHAnsi"/>
        </w:rPr>
      </w:pPr>
    </w:p>
    <w:p w:rsidR="00615296" w:rsidRPr="0010219A" w:rsidRDefault="00930533" w:rsidP="00B32FF7">
      <w:pPr>
        <w:ind w:left="709" w:hanging="709"/>
        <w:jc w:val="both"/>
        <w:rPr>
          <w:rFonts w:asciiTheme="minorHAnsi" w:hAnsiTheme="minorHAnsi"/>
        </w:rPr>
      </w:pPr>
      <w:r>
        <w:rPr>
          <w:rFonts w:asciiTheme="minorHAnsi" w:hAnsiTheme="minorHAnsi"/>
        </w:rPr>
        <w:t>2.6</w:t>
      </w:r>
      <w:r w:rsidR="00615296">
        <w:rPr>
          <w:rFonts w:asciiTheme="minorHAnsi" w:hAnsiTheme="minorHAnsi"/>
        </w:rPr>
        <w:tab/>
        <w:t>EB021 (see pages 75 &amp; 76</w:t>
      </w:r>
      <w:r w:rsidR="00815443">
        <w:rPr>
          <w:rFonts w:asciiTheme="minorHAnsi" w:hAnsiTheme="minorHAnsi"/>
        </w:rPr>
        <w:t>) includes</w:t>
      </w:r>
      <w:r w:rsidR="00615296">
        <w:rPr>
          <w:rFonts w:asciiTheme="minorHAnsi" w:hAnsiTheme="minorHAnsi"/>
        </w:rPr>
        <w:t xml:space="preserve"> the promotion of VCG by FCA (ref 1.1 map 26)</w:t>
      </w:r>
      <w:r w:rsidR="00AC6499">
        <w:rPr>
          <w:rFonts w:asciiTheme="minorHAnsi" w:hAnsiTheme="minorHAnsi"/>
        </w:rPr>
        <w:t>.</w:t>
      </w:r>
      <w:r w:rsidR="00615296">
        <w:rPr>
          <w:rFonts w:asciiTheme="minorHAnsi" w:hAnsiTheme="minorHAnsi"/>
        </w:rPr>
        <w:t xml:space="preserve"> </w:t>
      </w:r>
      <w:r w:rsidR="00AC6499">
        <w:rPr>
          <w:rFonts w:asciiTheme="minorHAnsi" w:hAnsiTheme="minorHAnsi"/>
        </w:rPr>
        <w:t>Much of the information contained in the toolkit is inaccurate and misleading</w:t>
      </w:r>
      <w:r w:rsidR="00553D93">
        <w:rPr>
          <w:rFonts w:asciiTheme="minorHAnsi" w:hAnsiTheme="minorHAnsi"/>
        </w:rPr>
        <w:t xml:space="preserve"> and the community use</w:t>
      </w:r>
      <w:r w:rsidR="00253CAF">
        <w:rPr>
          <w:rFonts w:asciiTheme="minorHAnsi" w:hAnsiTheme="minorHAnsi"/>
        </w:rPr>
        <w:t>,</w:t>
      </w:r>
      <w:r w:rsidR="00553D93">
        <w:rPr>
          <w:rFonts w:asciiTheme="minorHAnsi" w:hAnsiTheme="minorHAnsi"/>
        </w:rPr>
        <w:t xml:space="preserve"> and value</w:t>
      </w:r>
      <w:r w:rsidR="00253CAF">
        <w:rPr>
          <w:rFonts w:asciiTheme="minorHAnsi" w:hAnsiTheme="minorHAnsi"/>
        </w:rPr>
        <w:t>,</w:t>
      </w:r>
      <w:r w:rsidR="00553D93">
        <w:rPr>
          <w:rFonts w:asciiTheme="minorHAnsi" w:hAnsiTheme="minorHAnsi"/>
        </w:rPr>
        <w:t xml:space="preserve"> has been exaggerated</w:t>
      </w:r>
      <w:r w:rsidR="00AC6499">
        <w:rPr>
          <w:rFonts w:asciiTheme="minorHAnsi" w:hAnsiTheme="minorHAnsi"/>
        </w:rPr>
        <w:t xml:space="preserve">. </w:t>
      </w:r>
      <w:r w:rsidR="00B562CB">
        <w:rPr>
          <w:rFonts w:asciiTheme="minorHAnsi" w:hAnsiTheme="minorHAnsi"/>
        </w:rPr>
        <w:t>The site does not meet the Hub, Key or local criteria. The evidence of community support provided was, and is, woefully inadequate. Had CCC been consulted it would have set out the shortcomings</w:t>
      </w:r>
      <w:r w:rsidR="00A629B3">
        <w:rPr>
          <w:rFonts w:asciiTheme="minorHAnsi" w:hAnsiTheme="minorHAnsi"/>
        </w:rPr>
        <w:t xml:space="preserve"> (see Ap</w:t>
      </w:r>
      <w:r w:rsidR="00DC5A10">
        <w:rPr>
          <w:rFonts w:asciiTheme="minorHAnsi" w:hAnsiTheme="minorHAnsi"/>
        </w:rPr>
        <w:t>pendix C</w:t>
      </w:r>
      <w:r w:rsidR="00A629B3">
        <w:rPr>
          <w:rFonts w:asciiTheme="minorHAnsi" w:hAnsiTheme="minorHAnsi"/>
        </w:rPr>
        <w:t>)</w:t>
      </w:r>
      <w:r w:rsidR="00B562CB">
        <w:rPr>
          <w:rFonts w:asciiTheme="minorHAnsi" w:hAnsiTheme="minorHAnsi"/>
        </w:rPr>
        <w:t xml:space="preserve"> of the existing grounds</w:t>
      </w:r>
      <w:r w:rsidR="00476FCA">
        <w:rPr>
          <w:rFonts w:asciiTheme="minorHAnsi" w:hAnsiTheme="minorHAnsi"/>
        </w:rPr>
        <w:t>/facilities</w:t>
      </w:r>
      <w:r w:rsidR="00B562CB">
        <w:rPr>
          <w:rFonts w:asciiTheme="minorHAnsi" w:hAnsiTheme="minorHAnsi"/>
        </w:rPr>
        <w:t xml:space="preserve"> and their unsuitability to meet the club</w:t>
      </w:r>
      <w:r w:rsidR="00CB06F2">
        <w:rPr>
          <w:rFonts w:asciiTheme="minorHAnsi" w:hAnsiTheme="minorHAnsi"/>
        </w:rPr>
        <w:t>’</w:t>
      </w:r>
      <w:r w:rsidR="00B562CB">
        <w:rPr>
          <w:rFonts w:asciiTheme="minorHAnsi" w:hAnsiTheme="minorHAnsi"/>
        </w:rPr>
        <w:t xml:space="preserve">s </w:t>
      </w:r>
      <w:r w:rsidR="00CB06F2">
        <w:rPr>
          <w:rFonts w:asciiTheme="minorHAnsi" w:hAnsiTheme="minorHAnsi"/>
        </w:rPr>
        <w:t xml:space="preserve">(and the sports) </w:t>
      </w:r>
      <w:r w:rsidR="00B562CB">
        <w:rPr>
          <w:rFonts w:asciiTheme="minorHAnsi" w:hAnsiTheme="minorHAnsi"/>
        </w:rPr>
        <w:t>current and future needs</w:t>
      </w:r>
      <w:r w:rsidR="00CB06F2">
        <w:rPr>
          <w:rFonts w:asciiTheme="minorHAnsi" w:hAnsiTheme="minorHAnsi"/>
        </w:rPr>
        <w:t xml:space="preserve">. </w:t>
      </w:r>
      <w:r w:rsidR="00AC6499">
        <w:rPr>
          <w:rFonts w:asciiTheme="minorHAnsi" w:hAnsiTheme="minorHAnsi"/>
        </w:rPr>
        <w:t>There is no public access to the site</w:t>
      </w:r>
      <w:r w:rsidR="00815443">
        <w:rPr>
          <w:rFonts w:asciiTheme="minorHAnsi" w:hAnsiTheme="minorHAnsi"/>
        </w:rPr>
        <w:t xml:space="preserve">. CCC has granted private rights to a number of adjoining residents which is renewable annually. </w:t>
      </w:r>
    </w:p>
    <w:p w:rsidR="00F47655" w:rsidRDefault="00F47655" w:rsidP="00B32FF7">
      <w:pPr>
        <w:ind w:left="709" w:hanging="709"/>
        <w:jc w:val="both"/>
        <w:rPr>
          <w:rFonts w:asciiTheme="minorHAnsi" w:hAnsiTheme="minorHAnsi"/>
        </w:rPr>
      </w:pPr>
      <w:r>
        <w:rPr>
          <w:rFonts w:asciiTheme="minorHAnsi" w:hAnsiTheme="minorHAnsi"/>
          <w:b/>
        </w:rPr>
        <w:tab/>
      </w:r>
      <w:r w:rsidRPr="00F47655">
        <w:rPr>
          <w:rFonts w:asciiTheme="minorHAnsi" w:hAnsiTheme="minorHAnsi"/>
        </w:rPr>
        <w:t>Recommendation H of</w:t>
      </w:r>
      <w:r>
        <w:rPr>
          <w:rFonts w:asciiTheme="minorHAnsi" w:hAnsiTheme="minorHAnsi"/>
        </w:rPr>
        <w:t xml:space="preserve"> EB015 includes the following: </w:t>
      </w:r>
    </w:p>
    <w:p w:rsidR="00B32FF7" w:rsidRDefault="00F47655" w:rsidP="00B32FF7">
      <w:pPr>
        <w:ind w:left="709" w:hanging="709"/>
        <w:jc w:val="both"/>
        <w:rPr>
          <w:rFonts w:asciiTheme="minorHAnsi" w:hAnsiTheme="minorHAnsi"/>
          <w:i/>
        </w:rPr>
      </w:pPr>
      <w:r>
        <w:rPr>
          <w:rFonts w:asciiTheme="minorHAnsi" w:hAnsiTheme="minorHAnsi"/>
        </w:rPr>
        <w:tab/>
      </w:r>
      <w:r>
        <w:rPr>
          <w:rFonts w:asciiTheme="minorHAnsi" w:hAnsiTheme="minorHAnsi"/>
        </w:rPr>
        <w:tab/>
      </w:r>
      <w:r>
        <w:rPr>
          <w:rFonts w:asciiTheme="minorHAnsi" w:hAnsiTheme="minorHAnsi"/>
        </w:rPr>
        <w:tab/>
      </w:r>
      <w:r w:rsidRPr="00F47655">
        <w:rPr>
          <w:rFonts w:asciiTheme="minorHAnsi" w:hAnsiTheme="minorHAnsi"/>
          <w:i/>
        </w:rPr>
        <w:t xml:space="preserve">“While maximising the use of existing pitches offers scope to address the </w:t>
      </w:r>
      <w:r w:rsidRPr="00F47655">
        <w:rPr>
          <w:rFonts w:asciiTheme="minorHAnsi" w:hAnsiTheme="minorHAnsi"/>
          <w:i/>
        </w:rPr>
        <w:tab/>
      </w:r>
      <w:r w:rsidRPr="00F47655">
        <w:rPr>
          <w:rFonts w:asciiTheme="minorHAnsi" w:hAnsiTheme="minorHAnsi"/>
          <w:i/>
        </w:rPr>
        <w:tab/>
      </w:r>
      <w:r w:rsidRPr="00F47655">
        <w:rPr>
          <w:rFonts w:asciiTheme="minorHAnsi" w:hAnsiTheme="minorHAnsi"/>
          <w:i/>
        </w:rPr>
        <w:tab/>
        <w:t xml:space="preserve">quantitative deficiencies for most sports, new or additional cricket squares on </w:t>
      </w:r>
      <w:r w:rsidRPr="00F47655">
        <w:rPr>
          <w:rFonts w:asciiTheme="minorHAnsi" w:hAnsiTheme="minorHAnsi"/>
          <w:i/>
        </w:rPr>
        <w:tab/>
      </w:r>
      <w:r w:rsidRPr="00F47655">
        <w:rPr>
          <w:rFonts w:asciiTheme="minorHAnsi" w:hAnsiTheme="minorHAnsi"/>
          <w:i/>
        </w:rPr>
        <w:tab/>
        <w:t xml:space="preserve">public or private fields, as well as improving existing wickets is required to </w:t>
      </w:r>
      <w:r w:rsidRPr="00F47655">
        <w:rPr>
          <w:rFonts w:asciiTheme="minorHAnsi" w:hAnsiTheme="minorHAnsi"/>
          <w:i/>
        </w:rPr>
        <w:tab/>
      </w:r>
      <w:r w:rsidRPr="00F47655">
        <w:rPr>
          <w:rFonts w:asciiTheme="minorHAnsi" w:hAnsiTheme="minorHAnsi"/>
          <w:i/>
        </w:rPr>
        <w:tab/>
        <w:t>meet the levels of demand identified for cricket both now and in the future”</w:t>
      </w:r>
    </w:p>
    <w:p w:rsidR="00930533" w:rsidRDefault="00930533" w:rsidP="00B32FF7">
      <w:pPr>
        <w:ind w:left="709" w:hanging="709"/>
        <w:jc w:val="both"/>
        <w:rPr>
          <w:rFonts w:asciiTheme="minorHAnsi" w:hAnsiTheme="minorHAnsi"/>
          <w:i/>
        </w:rPr>
      </w:pPr>
    </w:p>
    <w:p w:rsidR="00F47655" w:rsidRPr="00F47655" w:rsidRDefault="00930533" w:rsidP="00B32FF7">
      <w:pPr>
        <w:ind w:left="709" w:hanging="709"/>
        <w:jc w:val="both"/>
        <w:rPr>
          <w:rFonts w:asciiTheme="minorHAnsi" w:hAnsiTheme="minorHAnsi"/>
        </w:rPr>
      </w:pPr>
      <w:r w:rsidRPr="00930533">
        <w:rPr>
          <w:rFonts w:asciiTheme="minorHAnsi" w:hAnsiTheme="minorHAnsi"/>
        </w:rPr>
        <w:t>2.7</w:t>
      </w:r>
      <w:r w:rsidR="00F47655">
        <w:rPr>
          <w:rFonts w:asciiTheme="minorHAnsi" w:hAnsiTheme="minorHAnsi"/>
          <w:i/>
        </w:rPr>
        <w:tab/>
      </w:r>
      <w:r w:rsidR="00F47655" w:rsidRPr="00F47655">
        <w:rPr>
          <w:rFonts w:asciiTheme="minorHAnsi" w:hAnsiTheme="minorHAnsi"/>
        </w:rPr>
        <w:t xml:space="preserve">This recommendation </w:t>
      </w:r>
      <w:r w:rsidR="00F47655">
        <w:rPr>
          <w:rFonts w:asciiTheme="minorHAnsi" w:hAnsiTheme="minorHAnsi"/>
        </w:rPr>
        <w:t xml:space="preserve">should be read in association with Sport England Policy. It is   CCC’s position that its existing ground, VCG is insufficient (both in quality and quantity) for its current, projected and planned sporting needs. </w:t>
      </w:r>
      <w:r w:rsidR="000A0B16">
        <w:rPr>
          <w:rFonts w:asciiTheme="minorHAnsi" w:hAnsiTheme="minorHAnsi"/>
        </w:rPr>
        <w:t xml:space="preserve">Whilst Recommendation h does not appear to envisage relocation </w:t>
      </w:r>
      <w:r w:rsidR="00C4028B">
        <w:rPr>
          <w:rFonts w:asciiTheme="minorHAnsi" w:hAnsiTheme="minorHAnsi"/>
        </w:rPr>
        <w:t>(</w:t>
      </w:r>
      <w:r w:rsidR="000A0B16">
        <w:rPr>
          <w:rFonts w:asciiTheme="minorHAnsi" w:hAnsiTheme="minorHAnsi"/>
        </w:rPr>
        <w:t>and associated redevelopment</w:t>
      </w:r>
      <w:r w:rsidR="00C4028B">
        <w:rPr>
          <w:rFonts w:asciiTheme="minorHAnsi" w:hAnsiTheme="minorHAnsi"/>
        </w:rPr>
        <w:t>)</w:t>
      </w:r>
      <w:r w:rsidR="000A0B16">
        <w:rPr>
          <w:rFonts w:asciiTheme="minorHAnsi" w:hAnsiTheme="minorHAnsi"/>
        </w:rPr>
        <w:t xml:space="preserve"> it is necessary to consider that option. To remove the option from consideration is no</w:t>
      </w:r>
      <w:r w:rsidR="005404FB">
        <w:rPr>
          <w:rFonts w:asciiTheme="minorHAnsi" w:hAnsiTheme="minorHAnsi"/>
        </w:rPr>
        <w:t>t</w:t>
      </w:r>
      <w:r w:rsidR="000A0B16">
        <w:rPr>
          <w:rFonts w:asciiTheme="minorHAnsi" w:hAnsiTheme="minorHAnsi"/>
        </w:rPr>
        <w:t xml:space="preserve"> in the interests of sound planning</w:t>
      </w:r>
      <w:r w:rsidR="00C4028B">
        <w:rPr>
          <w:rFonts w:asciiTheme="minorHAnsi" w:hAnsiTheme="minorHAnsi"/>
        </w:rPr>
        <w:t>,</w:t>
      </w:r>
      <w:r w:rsidR="000A0B16">
        <w:rPr>
          <w:rFonts w:asciiTheme="minorHAnsi" w:hAnsiTheme="minorHAnsi"/>
        </w:rPr>
        <w:t xml:space="preserve"> or promotion of sport.</w:t>
      </w:r>
      <w:r w:rsidR="00F47655">
        <w:rPr>
          <w:rFonts w:asciiTheme="minorHAnsi" w:hAnsiTheme="minorHAnsi"/>
        </w:rPr>
        <w:t xml:space="preserve"> CCC is now actively seeking suitable </w:t>
      </w:r>
      <w:r w:rsidR="00D226B4">
        <w:rPr>
          <w:rFonts w:asciiTheme="minorHAnsi" w:hAnsiTheme="minorHAnsi"/>
        </w:rPr>
        <w:t>land for quality</w:t>
      </w:r>
      <w:r w:rsidR="00F47655">
        <w:rPr>
          <w:rFonts w:asciiTheme="minorHAnsi" w:hAnsiTheme="minorHAnsi"/>
        </w:rPr>
        <w:t xml:space="preserve"> grounds for crickets (and </w:t>
      </w:r>
      <w:r w:rsidR="00BA2B57">
        <w:rPr>
          <w:rFonts w:asciiTheme="minorHAnsi" w:hAnsiTheme="minorHAnsi"/>
        </w:rPr>
        <w:t>potentially</w:t>
      </w:r>
      <w:r w:rsidR="00E20DE1">
        <w:rPr>
          <w:rFonts w:asciiTheme="minorHAnsi" w:hAnsiTheme="minorHAnsi"/>
        </w:rPr>
        <w:t xml:space="preserve"> </w:t>
      </w:r>
      <w:r w:rsidR="00F47655">
        <w:rPr>
          <w:rFonts w:asciiTheme="minorHAnsi" w:hAnsiTheme="minorHAnsi"/>
        </w:rPr>
        <w:t>other sports</w:t>
      </w:r>
      <w:r w:rsidR="00C4028B">
        <w:rPr>
          <w:rFonts w:asciiTheme="minorHAnsi" w:hAnsiTheme="minorHAnsi"/>
        </w:rPr>
        <w:t>- see Appendix E support from CHC</w:t>
      </w:r>
      <w:r w:rsidR="00F47655">
        <w:rPr>
          <w:rFonts w:asciiTheme="minorHAnsi" w:hAnsiTheme="minorHAnsi"/>
        </w:rPr>
        <w:t xml:space="preserve">) 21st Century needs. </w:t>
      </w:r>
    </w:p>
    <w:p w:rsidR="00B32FF7" w:rsidRDefault="00B32FF7" w:rsidP="00B32FF7">
      <w:pPr>
        <w:ind w:left="709" w:hanging="709"/>
        <w:jc w:val="both"/>
        <w:rPr>
          <w:rFonts w:asciiTheme="minorHAnsi" w:hAnsiTheme="minorHAnsi"/>
          <w:b/>
        </w:rPr>
      </w:pPr>
    </w:p>
    <w:p w:rsidR="00B32FF7" w:rsidRPr="004C6990" w:rsidRDefault="00930533" w:rsidP="00B32FF7">
      <w:pPr>
        <w:ind w:left="709" w:hanging="709"/>
        <w:jc w:val="both"/>
        <w:rPr>
          <w:rFonts w:asciiTheme="minorHAnsi" w:hAnsiTheme="minorHAnsi"/>
          <w:i/>
        </w:rPr>
      </w:pPr>
      <w:r w:rsidRPr="00930533">
        <w:rPr>
          <w:rFonts w:asciiTheme="minorHAnsi" w:hAnsiTheme="minorHAnsi"/>
        </w:rPr>
        <w:t>2.8</w:t>
      </w:r>
      <w:r>
        <w:rPr>
          <w:rFonts w:asciiTheme="minorHAnsi" w:hAnsiTheme="minorHAnsi"/>
        </w:rPr>
        <w:tab/>
      </w:r>
      <w:r w:rsidRPr="00930533">
        <w:rPr>
          <w:rFonts w:asciiTheme="minorHAnsi" w:hAnsiTheme="minorHAnsi"/>
          <w:b/>
        </w:rPr>
        <w:t>Q4</w:t>
      </w:r>
      <w:r>
        <w:rPr>
          <w:rFonts w:asciiTheme="minorHAnsi" w:hAnsiTheme="minorHAnsi"/>
        </w:rPr>
        <w:t>. Yes. Table 8 (site 9). VCG does not meet the criteria in National Policy and advice (NPPG para 76-78 &amp; NPPG policy on GI &amp; LGS- inc. extracts reproduced above). It is suspected that there are many sites promoted in Table 8 that do not meet the national criteria.</w:t>
      </w:r>
      <w:r w:rsidR="00D31EC3">
        <w:rPr>
          <w:rFonts w:asciiTheme="minorHAnsi" w:hAnsiTheme="minorHAnsi"/>
        </w:rPr>
        <w:t xml:space="preserve"> There is little evidence that sites (we refer especially to site 9) are “demonstrably special”.</w:t>
      </w:r>
      <w:r w:rsidR="0036570C">
        <w:rPr>
          <w:rFonts w:asciiTheme="minorHAnsi" w:hAnsiTheme="minorHAnsi"/>
        </w:rPr>
        <w:t xml:space="preserve"> Failure to meet national policy Including NPPF paragraphs 76 &amp; 77) has been considered in previous plans</w:t>
      </w:r>
      <w:r w:rsidR="0036570C">
        <w:rPr>
          <w:rStyle w:val="FootnoteReference"/>
          <w:rFonts w:asciiTheme="minorHAnsi" w:hAnsiTheme="minorHAnsi"/>
        </w:rPr>
        <w:footnoteReference w:id="1"/>
      </w:r>
      <w:r w:rsidR="0036570C">
        <w:rPr>
          <w:rFonts w:asciiTheme="minorHAnsi" w:hAnsiTheme="minorHAnsi"/>
        </w:rPr>
        <w:t>. Failure to meet national policy, as found in the Examination of the Backwell NDP, is fatal to local policy</w:t>
      </w:r>
      <w:r w:rsidR="003706E8">
        <w:rPr>
          <w:rFonts w:asciiTheme="minorHAnsi" w:hAnsiTheme="minorHAnsi"/>
        </w:rPr>
        <w:t xml:space="preserve">. </w:t>
      </w:r>
      <w:r w:rsidR="004C6990">
        <w:rPr>
          <w:rFonts w:asciiTheme="minorHAnsi" w:hAnsiTheme="minorHAnsi"/>
        </w:rPr>
        <w:t xml:space="preserve">As the examiner concluded, </w:t>
      </w:r>
      <w:r w:rsidR="004C6990" w:rsidRPr="004C6990">
        <w:rPr>
          <w:rFonts w:asciiTheme="minorHAnsi" w:hAnsiTheme="minorHAnsi"/>
          <w:i/>
        </w:rPr>
        <w:t>“</w:t>
      </w:r>
      <w:r w:rsidR="004C6990">
        <w:rPr>
          <w:rFonts w:asciiTheme="minorHAnsi" w:hAnsiTheme="minorHAnsi"/>
          <w:i/>
        </w:rPr>
        <w:t>...i</w:t>
      </w:r>
      <w:r w:rsidR="003706E8" w:rsidRPr="004C6990">
        <w:rPr>
          <w:rFonts w:asciiTheme="minorHAnsi" w:hAnsiTheme="minorHAnsi"/>
          <w:i/>
        </w:rPr>
        <w:t>t is entirely reasonable to expect compelling evidence to demonstrate that</w:t>
      </w:r>
      <w:r w:rsidR="004C6990">
        <w:rPr>
          <w:rFonts w:asciiTheme="minorHAnsi" w:hAnsiTheme="minorHAnsi"/>
          <w:i/>
        </w:rPr>
        <w:t xml:space="preserve"> any such</w:t>
      </w:r>
      <w:r w:rsidR="003706E8" w:rsidRPr="004C6990">
        <w:rPr>
          <w:rFonts w:asciiTheme="minorHAnsi" w:hAnsiTheme="minorHAnsi"/>
          <w:i/>
        </w:rPr>
        <w:t xml:space="preserve"> allocation meet</w:t>
      </w:r>
      <w:r w:rsidR="004C6990">
        <w:rPr>
          <w:rFonts w:asciiTheme="minorHAnsi" w:hAnsiTheme="minorHAnsi"/>
          <w:i/>
        </w:rPr>
        <w:t>s</w:t>
      </w:r>
      <w:r w:rsidR="003706E8" w:rsidRPr="004C6990">
        <w:rPr>
          <w:rFonts w:asciiTheme="minorHAnsi" w:hAnsiTheme="minorHAnsi"/>
          <w:i/>
        </w:rPr>
        <w:t xml:space="preserve"> nation</w:t>
      </w:r>
      <w:r w:rsidR="004C6990" w:rsidRPr="004C6990">
        <w:rPr>
          <w:rFonts w:asciiTheme="minorHAnsi" w:hAnsiTheme="minorHAnsi"/>
          <w:i/>
        </w:rPr>
        <w:t>al policy</w:t>
      </w:r>
      <w:r w:rsidR="004C6990">
        <w:rPr>
          <w:rFonts w:asciiTheme="minorHAnsi" w:hAnsiTheme="minorHAnsi"/>
          <w:i/>
        </w:rPr>
        <w:t xml:space="preserve"> requirements</w:t>
      </w:r>
      <w:r w:rsidR="004C6990" w:rsidRPr="004C6990">
        <w:rPr>
          <w:rFonts w:asciiTheme="minorHAnsi" w:hAnsiTheme="minorHAnsi"/>
          <w:i/>
        </w:rPr>
        <w:t>”</w:t>
      </w:r>
      <w:r w:rsidR="004C6990">
        <w:rPr>
          <w:rFonts w:asciiTheme="minorHAnsi" w:hAnsiTheme="minorHAnsi"/>
        </w:rPr>
        <w:t xml:space="preserve"> and </w:t>
      </w:r>
      <w:r w:rsidR="004C6990" w:rsidRPr="004C6990">
        <w:rPr>
          <w:rFonts w:asciiTheme="minorHAnsi" w:hAnsiTheme="minorHAnsi"/>
          <w:i/>
        </w:rPr>
        <w:t>“</w:t>
      </w:r>
      <w:r w:rsidR="004C6990">
        <w:rPr>
          <w:rFonts w:asciiTheme="minorHAnsi" w:hAnsiTheme="minorHAnsi"/>
          <w:i/>
        </w:rPr>
        <w:t>...</w:t>
      </w:r>
      <w:r w:rsidR="004C6990" w:rsidRPr="004C6990">
        <w:rPr>
          <w:rFonts w:asciiTheme="minorHAnsi" w:hAnsiTheme="minorHAnsi"/>
          <w:i/>
        </w:rPr>
        <w:t>the fact that there may be other benefits arising from a Local Green Space designation does not mitigate against, or overcome a failure to meet, a policy requirement”.</w:t>
      </w:r>
    </w:p>
    <w:p w:rsidR="0013197A" w:rsidRPr="0013197A" w:rsidRDefault="0013197A" w:rsidP="00B32FF7">
      <w:pPr>
        <w:ind w:left="709" w:hanging="709"/>
        <w:jc w:val="both"/>
        <w:rPr>
          <w:rFonts w:asciiTheme="minorHAnsi" w:hAnsiTheme="minorHAnsi"/>
        </w:rPr>
      </w:pPr>
    </w:p>
    <w:p w:rsidR="00B32FF7" w:rsidRDefault="00930533" w:rsidP="00B32FF7">
      <w:pPr>
        <w:ind w:left="709" w:hanging="709"/>
        <w:jc w:val="both"/>
        <w:rPr>
          <w:rFonts w:asciiTheme="minorHAnsi" w:hAnsiTheme="minorHAnsi"/>
        </w:rPr>
      </w:pPr>
      <w:r w:rsidRPr="00930533">
        <w:rPr>
          <w:rFonts w:asciiTheme="minorHAnsi" w:hAnsiTheme="minorHAnsi"/>
        </w:rPr>
        <w:t>2.9</w:t>
      </w:r>
      <w:r w:rsidRPr="00930533">
        <w:rPr>
          <w:rFonts w:asciiTheme="minorHAnsi" w:hAnsiTheme="minorHAnsi"/>
        </w:rPr>
        <w:tab/>
      </w:r>
      <w:r w:rsidRPr="00D31EC3">
        <w:rPr>
          <w:rFonts w:asciiTheme="minorHAnsi" w:hAnsiTheme="minorHAnsi"/>
          <w:b/>
        </w:rPr>
        <w:t>Q5.</w:t>
      </w:r>
      <w:r>
        <w:rPr>
          <w:rFonts w:asciiTheme="minorHAnsi" w:hAnsiTheme="minorHAnsi"/>
        </w:rPr>
        <w:t xml:space="preserve"> CBC’s inclusion of extensive tracts of land (as referred to by example in the </w:t>
      </w:r>
      <w:r w:rsidR="00D31EC3">
        <w:rPr>
          <w:rFonts w:asciiTheme="minorHAnsi" w:hAnsiTheme="minorHAnsi"/>
        </w:rPr>
        <w:t xml:space="preserve">Inspector’s posed </w:t>
      </w:r>
      <w:r>
        <w:rPr>
          <w:rFonts w:asciiTheme="minorHAnsi" w:hAnsiTheme="minorHAnsi"/>
        </w:rPr>
        <w:t xml:space="preserve">question) reinforces our view that </w:t>
      </w:r>
      <w:r w:rsidR="00011A12">
        <w:rPr>
          <w:rFonts w:asciiTheme="minorHAnsi" w:hAnsiTheme="minorHAnsi"/>
        </w:rPr>
        <w:t xml:space="preserve">the Council has misinterpreted the policy setting aside the </w:t>
      </w:r>
      <w:r w:rsidR="00D31EC3">
        <w:rPr>
          <w:rFonts w:asciiTheme="minorHAnsi" w:hAnsiTheme="minorHAnsi"/>
        </w:rPr>
        <w:t xml:space="preserve">most </w:t>
      </w:r>
      <w:r w:rsidR="00011A12">
        <w:rPr>
          <w:rFonts w:asciiTheme="minorHAnsi" w:hAnsiTheme="minorHAnsi"/>
        </w:rPr>
        <w:t>important advice</w:t>
      </w:r>
      <w:r w:rsidR="003929D7">
        <w:rPr>
          <w:rFonts w:asciiTheme="minorHAnsi" w:hAnsiTheme="minorHAnsi"/>
        </w:rPr>
        <w:t xml:space="preserve"> regarding “scale” and</w:t>
      </w:r>
      <w:r w:rsidR="00011A12">
        <w:rPr>
          <w:rFonts w:asciiTheme="minorHAnsi" w:hAnsiTheme="minorHAnsi"/>
        </w:rPr>
        <w:t xml:space="preserve"> that designation</w:t>
      </w:r>
      <w:r w:rsidR="00D31EC3">
        <w:rPr>
          <w:rFonts w:asciiTheme="minorHAnsi" w:hAnsiTheme="minorHAnsi"/>
        </w:rPr>
        <w:t>s</w:t>
      </w:r>
      <w:r w:rsidR="00011A12">
        <w:rPr>
          <w:rFonts w:asciiTheme="minorHAnsi" w:hAnsiTheme="minorHAnsi"/>
        </w:rPr>
        <w:t xml:space="preserve"> </w:t>
      </w:r>
      <w:r w:rsidR="00011A12" w:rsidRPr="003929D7">
        <w:rPr>
          <w:rFonts w:asciiTheme="minorHAnsi" w:hAnsiTheme="minorHAnsi"/>
          <w:i/>
        </w:rPr>
        <w:t>“...will not be appropriate for most green areas or open space”</w:t>
      </w:r>
      <w:r w:rsidR="00D31EC3">
        <w:rPr>
          <w:rFonts w:asciiTheme="minorHAnsi" w:hAnsiTheme="minorHAnsi"/>
        </w:rPr>
        <w:t>. The Council has adopted the opposite position i.e. to seek to designate most sites</w:t>
      </w:r>
      <w:r w:rsidR="00340994">
        <w:rPr>
          <w:rFonts w:asciiTheme="minorHAnsi" w:hAnsiTheme="minorHAnsi"/>
        </w:rPr>
        <w:t xml:space="preserve"> contrary to policy</w:t>
      </w:r>
      <w:r w:rsidR="00D31EC3">
        <w:rPr>
          <w:rFonts w:asciiTheme="minorHAnsi" w:hAnsiTheme="minorHAnsi"/>
        </w:rPr>
        <w:t>.</w:t>
      </w:r>
    </w:p>
    <w:p w:rsidR="00D31EC3" w:rsidRDefault="00D31EC3" w:rsidP="00B32FF7">
      <w:pPr>
        <w:ind w:left="709" w:hanging="709"/>
        <w:jc w:val="both"/>
        <w:rPr>
          <w:rFonts w:asciiTheme="minorHAnsi" w:hAnsiTheme="minorHAnsi"/>
        </w:rPr>
      </w:pPr>
    </w:p>
    <w:p w:rsidR="00D31EC3" w:rsidRDefault="00D31EC3" w:rsidP="00B32FF7">
      <w:pPr>
        <w:ind w:left="709" w:hanging="709"/>
        <w:jc w:val="both"/>
        <w:rPr>
          <w:rFonts w:asciiTheme="minorHAnsi" w:hAnsiTheme="minorHAnsi"/>
        </w:rPr>
      </w:pPr>
      <w:r>
        <w:rPr>
          <w:rFonts w:asciiTheme="minorHAnsi" w:hAnsiTheme="minorHAnsi"/>
        </w:rPr>
        <w:t>2.10</w:t>
      </w:r>
      <w:r>
        <w:rPr>
          <w:rFonts w:asciiTheme="minorHAnsi" w:hAnsiTheme="minorHAnsi"/>
        </w:rPr>
        <w:tab/>
      </w:r>
      <w:r w:rsidRPr="009204B2">
        <w:rPr>
          <w:rFonts w:asciiTheme="minorHAnsi" w:hAnsiTheme="minorHAnsi"/>
          <w:b/>
        </w:rPr>
        <w:t>Q6</w:t>
      </w:r>
      <w:r>
        <w:rPr>
          <w:rFonts w:asciiTheme="minorHAnsi" w:hAnsiTheme="minorHAnsi"/>
        </w:rPr>
        <w:t>. It is important that LGS is not an extension of Green Belt by the back door</w:t>
      </w:r>
      <w:r w:rsidR="009204B2">
        <w:rPr>
          <w:rFonts w:asciiTheme="minorHAnsi" w:hAnsiTheme="minorHAnsi"/>
        </w:rPr>
        <w:t>. The proposed designation near Swindon Village is in conflict with national policy. The proposed allocation is a further example of the Council’s misinterpretation (or misapplication) of national policy.</w:t>
      </w:r>
    </w:p>
    <w:p w:rsidR="009204B2" w:rsidRDefault="009204B2" w:rsidP="00B32FF7">
      <w:pPr>
        <w:ind w:left="709" w:hanging="709"/>
        <w:jc w:val="both"/>
        <w:rPr>
          <w:rFonts w:asciiTheme="minorHAnsi" w:hAnsiTheme="minorHAnsi"/>
        </w:rPr>
      </w:pPr>
    </w:p>
    <w:p w:rsidR="009204B2" w:rsidRDefault="009204B2" w:rsidP="009204B2">
      <w:pPr>
        <w:ind w:left="709" w:hanging="709"/>
        <w:jc w:val="both"/>
        <w:rPr>
          <w:rFonts w:asciiTheme="minorHAnsi" w:hAnsiTheme="minorHAnsi"/>
        </w:rPr>
      </w:pPr>
      <w:r>
        <w:rPr>
          <w:rFonts w:asciiTheme="minorHAnsi" w:hAnsiTheme="minorHAnsi"/>
        </w:rPr>
        <w:t>2.11</w:t>
      </w:r>
      <w:r>
        <w:rPr>
          <w:rFonts w:asciiTheme="minorHAnsi" w:hAnsiTheme="minorHAnsi"/>
        </w:rPr>
        <w:tab/>
      </w:r>
      <w:r w:rsidRPr="009204B2">
        <w:rPr>
          <w:rFonts w:asciiTheme="minorHAnsi" w:hAnsiTheme="minorHAnsi"/>
          <w:b/>
        </w:rPr>
        <w:t>Q7</w:t>
      </w:r>
      <w:r>
        <w:rPr>
          <w:rFonts w:asciiTheme="minorHAnsi" w:hAnsiTheme="minorHAnsi"/>
        </w:rPr>
        <w:t>. Like Q 5 &amp; 6 above this is not a matter directly related to CCC concerns</w:t>
      </w:r>
      <w:r w:rsidR="00975495">
        <w:rPr>
          <w:rFonts w:asciiTheme="minorHAnsi" w:hAnsiTheme="minorHAnsi"/>
        </w:rPr>
        <w:t>,</w:t>
      </w:r>
      <w:r>
        <w:rPr>
          <w:rFonts w:asciiTheme="minorHAnsi" w:hAnsiTheme="minorHAnsi"/>
        </w:rPr>
        <w:t xml:space="preserve"> but </w:t>
      </w:r>
      <w:r w:rsidRPr="009204B2">
        <w:rPr>
          <w:rFonts w:asciiTheme="minorHAnsi" w:hAnsiTheme="minorHAnsi"/>
        </w:rPr>
        <w:t xml:space="preserve">is a further example of the Council’s misinterpretation </w:t>
      </w:r>
      <w:r>
        <w:rPr>
          <w:rFonts w:asciiTheme="minorHAnsi" w:hAnsiTheme="minorHAnsi"/>
        </w:rPr>
        <w:t>(</w:t>
      </w:r>
      <w:r w:rsidRPr="009204B2">
        <w:rPr>
          <w:rFonts w:asciiTheme="minorHAnsi" w:hAnsiTheme="minorHAnsi"/>
        </w:rPr>
        <w:t>or misapplication</w:t>
      </w:r>
      <w:r>
        <w:rPr>
          <w:rFonts w:asciiTheme="minorHAnsi" w:hAnsiTheme="minorHAnsi"/>
        </w:rPr>
        <w:t>)</w:t>
      </w:r>
      <w:r w:rsidRPr="009204B2">
        <w:rPr>
          <w:rFonts w:asciiTheme="minorHAnsi" w:hAnsiTheme="minorHAnsi"/>
        </w:rPr>
        <w:t xml:space="preserve"> of national policy</w:t>
      </w:r>
      <w:r w:rsidR="00340994">
        <w:rPr>
          <w:rFonts w:asciiTheme="minorHAnsi" w:hAnsiTheme="minorHAnsi"/>
        </w:rPr>
        <w:t xml:space="preserve"> which results in national policy conflict</w:t>
      </w:r>
      <w:r w:rsidRPr="009204B2">
        <w:rPr>
          <w:rFonts w:asciiTheme="minorHAnsi" w:hAnsiTheme="minorHAnsi"/>
        </w:rPr>
        <w:t>.</w:t>
      </w:r>
    </w:p>
    <w:p w:rsidR="0013197A" w:rsidRDefault="0013197A" w:rsidP="009204B2">
      <w:pPr>
        <w:ind w:left="709" w:hanging="709"/>
        <w:jc w:val="both"/>
        <w:rPr>
          <w:rFonts w:asciiTheme="minorHAnsi" w:hAnsiTheme="minorHAnsi"/>
        </w:rPr>
      </w:pPr>
    </w:p>
    <w:p w:rsidR="009204B2" w:rsidRDefault="009204B2" w:rsidP="009204B2">
      <w:pPr>
        <w:ind w:left="709" w:hanging="709"/>
        <w:jc w:val="both"/>
        <w:rPr>
          <w:rFonts w:asciiTheme="minorHAnsi" w:hAnsiTheme="minorHAnsi"/>
        </w:rPr>
      </w:pPr>
      <w:r>
        <w:rPr>
          <w:rFonts w:asciiTheme="minorHAnsi" w:hAnsiTheme="minorHAnsi"/>
        </w:rPr>
        <w:t>2.12</w:t>
      </w:r>
      <w:r>
        <w:rPr>
          <w:rFonts w:asciiTheme="minorHAnsi" w:hAnsiTheme="minorHAnsi"/>
        </w:rPr>
        <w:tab/>
      </w:r>
      <w:r w:rsidRPr="009204B2">
        <w:rPr>
          <w:rFonts w:asciiTheme="minorHAnsi" w:hAnsiTheme="minorHAnsi"/>
          <w:b/>
        </w:rPr>
        <w:t>Q8</w:t>
      </w:r>
      <w:r>
        <w:rPr>
          <w:rFonts w:asciiTheme="minorHAnsi" w:hAnsiTheme="minorHAnsi"/>
        </w:rPr>
        <w:t>. As above.</w:t>
      </w:r>
    </w:p>
    <w:p w:rsidR="008A0DD1" w:rsidRPr="009204B2" w:rsidRDefault="008A0DD1" w:rsidP="009204B2">
      <w:pPr>
        <w:ind w:left="709" w:hanging="709"/>
        <w:jc w:val="both"/>
        <w:rPr>
          <w:rFonts w:asciiTheme="minorHAnsi" w:hAnsiTheme="minorHAnsi"/>
        </w:rPr>
      </w:pPr>
    </w:p>
    <w:p w:rsidR="00475CC6" w:rsidRDefault="00B32FF7" w:rsidP="00B32FF7">
      <w:pPr>
        <w:ind w:left="709" w:hanging="709"/>
        <w:jc w:val="both"/>
        <w:rPr>
          <w:rFonts w:asciiTheme="minorHAnsi" w:hAnsiTheme="minorHAnsi"/>
          <w:b/>
        </w:rPr>
      </w:pPr>
      <w:r>
        <w:rPr>
          <w:rFonts w:asciiTheme="minorHAnsi" w:hAnsiTheme="minorHAnsi"/>
          <w:b/>
        </w:rPr>
        <w:t xml:space="preserve">APPENDIX A:  </w:t>
      </w:r>
    </w:p>
    <w:p w:rsidR="00B32FF7" w:rsidRDefault="00475CC6" w:rsidP="00B32FF7">
      <w:pPr>
        <w:ind w:left="709" w:hanging="709"/>
        <w:jc w:val="both"/>
        <w:rPr>
          <w:rFonts w:asciiTheme="minorHAnsi" w:hAnsiTheme="minorHAnsi"/>
          <w:b/>
        </w:rPr>
      </w:pPr>
      <w:r>
        <w:rPr>
          <w:rFonts w:asciiTheme="minorHAnsi" w:hAnsiTheme="minorHAnsi"/>
          <w:b/>
        </w:rPr>
        <w:t>E</w:t>
      </w:r>
      <w:r w:rsidR="00B32FF7">
        <w:rPr>
          <w:rFonts w:asciiTheme="minorHAnsi" w:hAnsiTheme="minorHAnsi"/>
          <w:b/>
        </w:rPr>
        <w:t>x</w:t>
      </w:r>
      <w:r>
        <w:rPr>
          <w:rFonts w:asciiTheme="minorHAnsi" w:hAnsiTheme="minorHAnsi"/>
          <w:b/>
        </w:rPr>
        <w:t>tract of submissions made to</w:t>
      </w:r>
      <w:r w:rsidR="00B32FF7">
        <w:rPr>
          <w:rFonts w:asciiTheme="minorHAnsi" w:hAnsiTheme="minorHAnsi"/>
          <w:b/>
        </w:rPr>
        <w:t xml:space="preserve"> Tewkesbury Borough Plan</w:t>
      </w:r>
      <w:r w:rsidR="009204B2">
        <w:rPr>
          <w:rFonts w:asciiTheme="minorHAnsi" w:hAnsiTheme="minorHAnsi"/>
          <w:b/>
        </w:rPr>
        <w:t xml:space="preserve"> (FIO)</w:t>
      </w:r>
    </w:p>
    <w:p w:rsidR="00B32FF7" w:rsidRPr="00B32FF7" w:rsidRDefault="00B32FF7" w:rsidP="00B32FF7">
      <w:pPr>
        <w:ind w:left="709" w:hanging="709"/>
        <w:jc w:val="both"/>
        <w:rPr>
          <w:rFonts w:asciiTheme="minorHAnsi" w:hAnsiTheme="minorHAnsi"/>
          <w:b/>
          <w:i/>
        </w:rPr>
      </w:pPr>
      <w:r w:rsidRPr="00B32FF7">
        <w:rPr>
          <w:rFonts w:asciiTheme="minorHAnsi" w:hAnsiTheme="minorHAnsi"/>
          <w:b/>
          <w:i/>
        </w:rPr>
        <w:t>6</w:t>
      </w:r>
      <w:r w:rsidRPr="00B32FF7">
        <w:rPr>
          <w:rFonts w:asciiTheme="minorHAnsi" w:hAnsiTheme="minorHAnsi"/>
          <w:b/>
          <w:i/>
        </w:rPr>
        <w:tab/>
        <w:t>CHAPTER 9 COMMUNITIES HEALTH &amp; RECREATION</w:t>
      </w:r>
    </w:p>
    <w:p w:rsidR="00B32FF7" w:rsidRPr="00B32FF7" w:rsidRDefault="00B32FF7" w:rsidP="00B32FF7">
      <w:pPr>
        <w:ind w:left="709" w:hanging="709"/>
        <w:jc w:val="both"/>
        <w:rPr>
          <w:rFonts w:asciiTheme="minorHAnsi" w:hAnsiTheme="minorHAnsi"/>
          <w:i/>
        </w:rPr>
      </w:pPr>
      <w:r w:rsidRPr="00B32FF7">
        <w:rPr>
          <w:rFonts w:asciiTheme="minorHAnsi" w:hAnsiTheme="minorHAnsi"/>
          <w:i/>
        </w:rPr>
        <w:t>6.1</w:t>
      </w:r>
      <w:r w:rsidRPr="00B32FF7">
        <w:rPr>
          <w:rFonts w:asciiTheme="minorHAnsi" w:hAnsiTheme="minorHAnsi"/>
          <w:i/>
        </w:rPr>
        <w:tab/>
      </w:r>
      <w:r w:rsidRPr="00B32FF7">
        <w:rPr>
          <w:rFonts w:asciiTheme="minorHAnsi" w:hAnsiTheme="minorHAnsi"/>
          <w:b/>
          <w:i/>
        </w:rPr>
        <w:t>RCN 1</w:t>
      </w:r>
      <w:r w:rsidRPr="00B32FF7">
        <w:rPr>
          <w:rFonts w:asciiTheme="minorHAnsi" w:hAnsiTheme="minorHAnsi"/>
          <w:i/>
        </w:rPr>
        <w:t xml:space="preserve">. Support in principle. </w:t>
      </w:r>
    </w:p>
    <w:p w:rsidR="00B32FF7" w:rsidRPr="00B32FF7" w:rsidRDefault="00B32FF7" w:rsidP="00B32FF7">
      <w:pPr>
        <w:ind w:left="709" w:hanging="709"/>
        <w:jc w:val="both"/>
        <w:rPr>
          <w:rFonts w:asciiTheme="minorHAnsi" w:hAnsiTheme="minorHAnsi"/>
          <w:i/>
        </w:rPr>
      </w:pPr>
      <w:r w:rsidRPr="00B32FF7">
        <w:rPr>
          <w:rFonts w:asciiTheme="minorHAnsi" w:hAnsiTheme="minorHAnsi"/>
          <w:i/>
        </w:rPr>
        <w:t>6.2</w:t>
      </w:r>
      <w:r w:rsidRPr="00B32FF7">
        <w:rPr>
          <w:rFonts w:asciiTheme="minorHAnsi" w:hAnsiTheme="minorHAnsi"/>
          <w:i/>
        </w:rPr>
        <w:tab/>
      </w:r>
      <w:r w:rsidRPr="00B32FF7">
        <w:rPr>
          <w:rFonts w:asciiTheme="minorHAnsi" w:hAnsiTheme="minorHAnsi"/>
          <w:b/>
          <w:i/>
        </w:rPr>
        <w:t>RCN2</w:t>
      </w:r>
      <w:r w:rsidRPr="00B32FF7">
        <w:rPr>
          <w:rFonts w:asciiTheme="minorHAnsi" w:hAnsiTheme="minorHAnsi"/>
          <w:i/>
        </w:rPr>
        <w:t>. Support for new sports and recreational facilities are welcomed. The focus should however be on the quality of the facilities. The latest advice from Sport England and from sport Governing Bodies should be taken into account. Object to the wording that new building structures must be strictly ancillary. It is accepted that new building structures will need to be suitability justified.  There will however be circumstances (e.g. in the provision of elite training facilities) where necessary/essential facilities will be more than ancillary. We would advocate greater encouragement (fewer obstacles) for the provision of high quality sports facilities fit for the 21</w:t>
      </w:r>
      <w:r w:rsidRPr="00B32FF7">
        <w:rPr>
          <w:rFonts w:asciiTheme="minorHAnsi" w:hAnsiTheme="minorHAnsi"/>
          <w:i/>
          <w:vertAlign w:val="superscript"/>
        </w:rPr>
        <w:t>st</w:t>
      </w:r>
      <w:r w:rsidRPr="00B32FF7">
        <w:rPr>
          <w:rFonts w:asciiTheme="minorHAnsi" w:hAnsiTheme="minorHAnsi"/>
          <w:i/>
        </w:rPr>
        <w:t xml:space="preserve"> Century. Additional high quality facilities within Tewkesbury Borough (in and around the Cheltenham/Gloucester urban fringe) are likely to be required in the plan period in order to meet with the needs of the JCS area’s growing population.</w:t>
      </w:r>
    </w:p>
    <w:p w:rsidR="00B26D7F" w:rsidRDefault="003B2C7B" w:rsidP="00B26D7F">
      <w:pPr>
        <w:ind w:left="709" w:hanging="709"/>
        <w:jc w:val="both"/>
        <w:rPr>
          <w:rFonts w:asciiTheme="minorHAnsi" w:hAnsiTheme="minorHAnsi"/>
          <w:b/>
        </w:rPr>
      </w:pPr>
      <w:r>
        <w:rPr>
          <w:rFonts w:asciiTheme="minorHAnsi" w:hAnsiTheme="minorHAnsi"/>
          <w:b/>
        </w:rPr>
        <w:t>APPENDIX B:</w:t>
      </w:r>
    </w:p>
    <w:p w:rsidR="003B2C7B" w:rsidRPr="00844C98" w:rsidRDefault="00AA63CE" w:rsidP="00B26D7F">
      <w:pPr>
        <w:ind w:left="709" w:hanging="709"/>
        <w:jc w:val="both"/>
        <w:rPr>
          <w:rFonts w:asciiTheme="minorHAnsi" w:hAnsiTheme="minorHAnsi"/>
          <w:i/>
        </w:rPr>
      </w:pPr>
      <w:r>
        <w:rPr>
          <w:rFonts w:asciiTheme="minorHAnsi" w:hAnsiTheme="minorHAnsi"/>
          <w:i/>
        </w:rPr>
        <w:tab/>
      </w:r>
      <w:r w:rsidR="003B2C7B" w:rsidRPr="00844C98">
        <w:rPr>
          <w:rFonts w:asciiTheme="minorHAnsi" w:hAnsiTheme="minorHAnsi"/>
          <w:i/>
        </w:rPr>
        <w:t>JCS SLAA forms submitted as an attachment (for background information only)</w:t>
      </w:r>
    </w:p>
    <w:p w:rsidR="003B2C7B" w:rsidRDefault="003B2C7B" w:rsidP="00B26D7F">
      <w:pPr>
        <w:ind w:left="709" w:hanging="709"/>
        <w:jc w:val="both"/>
        <w:rPr>
          <w:rFonts w:asciiTheme="minorHAnsi" w:hAnsiTheme="minorHAnsi"/>
          <w:b/>
        </w:rPr>
      </w:pPr>
      <w:r w:rsidRPr="003B2C7B">
        <w:rPr>
          <w:rFonts w:asciiTheme="minorHAnsi" w:hAnsiTheme="minorHAnsi"/>
          <w:b/>
        </w:rPr>
        <w:t>APPENDIX C:</w:t>
      </w:r>
    </w:p>
    <w:p w:rsidR="004671C1" w:rsidRPr="00AA63CE" w:rsidRDefault="00AA63CE" w:rsidP="00B26D7F">
      <w:pPr>
        <w:ind w:left="709" w:hanging="709"/>
        <w:jc w:val="both"/>
        <w:rPr>
          <w:rFonts w:asciiTheme="minorHAnsi" w:hAnsiTheme="minorHAnsi"/>
          <w:i/>
        </w:rPr>
      </w:pPr>
      <w:r>
        <w:rPr>
          <w:rFonts w:asciiTheme="minorHAnsi" w:hAnsiTheme="minorHAnsi"/>
        </w:rPr>
        <w:tab/>
      </w:r>
      <w:r w:rsidRPr="00AA63CE">
        <w:rPr>
          <w:rFonts w:asciiTheme="minorHAnsi" w:hAnsiTheme="minorHAnsi"/>
          <w:i/>
        </w:rPr>
        <w:t xml:space="preserve">CCC analysis of the </w:t>
      </w:r>
      <w:r>
        <w:rPr>
          <w:rFonts w:asciiTheme="minorHAnsi" w:hAnsiTheme="minorHAnsi"/>
          <w:i/>
        </w:rPr>
        <w:t>G</w:t>
      </w:r>
      <w:r w:rsidRPr="00AA63CE">
        <w:rPr>
          <w:rFonts w:asciiTheme="minorHAnsi" w:hAnsiTheme="minorHAnsi"/>
          <w:i/>
        </w:rPr>
        <w:t>rounds weaknesses and threats impacting on continuing/improving cricket</w:t>
      </w:r>
      <w:r>
        <w:rPr>
          <w:rFonts w:asciiTheme="minorHAnsi" w:hAnsiTheme="minorHAnsi"/>
          <w:i/>
        </w:rPr>
        <w:t>.</w:t>
      </w:r>
      <w:r w:rsidR="000D7DB3">
        <w:rPr>
          <w:rFonts w:asciiTheme="minorHAnsi" w:hAnsiTheme="minorHAnsi"/>
          <w:i/>
        </w:rPr>
        <w:t xml:space="preserve"> Submitted as an attachment.</w:t>
      </w:r>
    </w:p>
    <w:p w:rsidR="004671C1" w:rsidRPr="003B2C7B" w:rsidRDefault="004671C1" w:rsidP="00B26D7F">
      <w:pPr>
        <w:ind w:left="709" w:hanging="709"/>
        <w:jc w:val="both"/>
        <w:rPr>
          <w:rFonts w:asciiTheme="minorHAnsi" w:hAnsiTheme="minorHAnsi"/>
          <w:b/>
        </w:rPr>
      </w:pPr>
      <w:r>
        <w:rPr>
          <w:rFonts w:asciiTheme="minorHAnsi" w:hAnsiTheme="minorHAnsi"/>
          <w:b/>
        </w:rPr>
        <w:t>APPENDIX D:</w:t>
      </w:r>
    </w:p>
    <w:p w:rsidR="003B2C7B" w:rsidRDefault="00AA63CE" w:rsidP="00B26D7F">
      <w:pPr>
        <w:ind w:left="709" w:hanging="709"/>
        <w:jc w:val="both"/>
        <w:rPr>
          <w:rFonts w:asciiTheme="minorHAnsi" w:hAnsiTheme="minorHAnsi"/>
          <w:i/>
        </w:rPr>
      </w:pPr>
      <w:r>
        <w:rPr>
          <w:rFonts w:asciiTheme="minorHAnsi" w:hAnsiTheme="minorHAnsi"/>
          <w:i/>
        </w:rPr>
        <w:tab/>
      </w:r>
      <w:r w:rsidR="003B2C7B" w:rsidRPr="00844C98">
        <w:rPr>
          <w:rFonts w:asciiTheme="minorHAnsi" w:hAnsiTheme="minorHAnsi"/>
          <w:i/>
        </w:rPr>
        <w:t>Letter from Gloucestershire Cricket Board (GCB)</w:t>
      </w:r>
      <w:r w:rsidR="00844C98">
        <w:rPr>
          <w:rFonts w:asciiTheme="minorHAnsi" w:hAnsiTheme="minorHAnsi"/>
          <w:i/>
        </w:rPr>
        <w:t>.</w:t>
      </w:r>
      <w:r w:rsidR="003B2C7B" w:rsidRPr="00844C98">
        <w:rPr>
          <w:rFonts w:asciiTheme="minorHAnsi" w:hAnsiTheme="minorHAnsi"/>
          <w:i/>
        </w:rPr>
        <w:t xml:space="preserve"> </w:t>
      </w:r>
      <w:r w:rsidR="000D7DB3">
        <w:rPr>
          <w:rFonts w:asciiTheme="minorHAnsi" w:hAnsiTheme="minorHAnsi"/>
          <w:i/>
        </w:rPr>
        <w:t>Submitted as an attachment.</w:t>
      </w:r>
    </w:p>
    <w:p w:rsidR="009C6098" w:rsidRDefault="009C6098" w:rsidP="00B26D7F">
      <w:pPr>
        <w:ind w:left="709" w:hanging="709"/>
        <w:jc w:val="both"/>
        <w:rPr>
          <w:rFonts w:asciiTheme="minorHAnsi" w:hAnsiTheme="minorHAnsi"/>
          <w:b/>
        </w:rPr>
      </w:pPr>
      <w:r w:rsidRPr="009C6098">
        <w:rPr>
          <w:rFonts w:asciiTheme="minorHAnsi" w:hAnsiTheme="minorHAnsi"/>
          <w:b/>
        </w:rPr>
        <w:t>APPENDIX E:</w:t>
      </w:r>
    </w:p>
    <w:p w:rsidR="009C6098" w:rsidRPr="009C6098" w:rsidRDefault="009C6098" w:rsidP="00B26D7F">
      <w:pPr>
        <w:ind w:left="709" w:hanging="709"/>
        <w:jc w:val="both"/>
        <w:rPr>
          <w:rFonts w:asciiTheme="minorHAnsi" w:hAnsiTheme="minorHAnsi"/>
          <w:i/>
        </w:rPr>
      </w:pPr>
      <w:r>
        <w:rPr>
          <w:rFonts w:asciiTheme="minorHAnsi" w:hAnsiTheme="minorHAnsi"/>
          <w:b/>
        </w:rPr>
        <w:tab/>
      </w:r>
      <w:r w:rsidRPr="009C6098">
        <w:rPr>
          <w:rFonts w:asciiTheme="minorHAnsi" w:hAnsiTheme="minorHAnsi"/>
          <w:i/>
        </w:rPr>
        <w:t xml:space="preserve">Letter from </w:t>
      </w:r>
      <w:r>
        <w:rPr>
          <w:rFonts w:asciiTheme="minorHAnsi" w:hAnsiTheme="minorHAnsi"/>
          <w:i/>
        </w:rPr>
        <w:t>Cheltenham Hockey Club (CHC)</w:t>
      </w:r>
    </w:p>
    <w:sectPr w:rsidR="009C6098" w:rsidRPr="009C6098" w:rsidSect="00B26D7F">
      <w:headerReference w:type="default" r:id="rId7"/>
      <w:footerReference w:type="default" r:id="rId8"/>
      <w:pgSz w:w="11906" w:h="16838"/>
      <w:pgMar w:top="1245"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533" w:rsidRDefault="00930533" w:rsidP="00B26D7F">
      <w:pPr>
        <w:spacing w:after="0" w:line="240" w:lineRule="auto"/>
      </w:pPr>
      <w:r>
        <w:separator/>
      </w:r>
    </w:p>
  </w:endnote>
  <w:endnote w:type="continuationSeparator" w:id="0">
    <w:p w:rsidR="00930533" w:rsidRDefault="00930533" w:rsidP="00B26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4420"/>
      <w:docPartObj>
        <w:docPartGallery w:val="Page Numbers (Bottom of Page)"/>
        <w:docPartUnique/>
      </w:docPartObj>
    </w:sdtPr>
    <w:sdtContent>
      <w:p w:rsidR="00930533" w:rsidRDefault="00F52F4E">
        <w:pPr>
          <w:pStyle w:val="Footer"/>
          <w:jc w:val="right"/>
        </w:pPr>
        <w:fldSimple w:instr=" PAGE   \* MERGEFORMAT ">
          <w:r w:rsidR="00FA3CD5">
            <w:rPr>
              <w:noProof/>
            </w:rPr>
            <w:t>1</w:t>
          </w:r>
        </w:fldSimple>
      </w:p>
    </w:sdtContent>
  </w:sdt>
  <w:p w:rsidR="00930533" w:rsidRPr="00B26D7F" w:rsidRDefault="00930533">
    <w:pPr>
      <w:pStyle w:val="Footer"/>
      <w:rPr>
        <w:color w:val="0070C0"/>
        <w:sz w:val="20"/>
        <w:szCs w:val="20"/>
      </w:rPr>
    </w:pPr>
    <w:r w:rsidRPr="00B26D7F">
      <w:rPr>
        <w:color w:val="0070C0"/>
        <w:sz w:val="20"/>
        <w:szCs w:val="20"/>
      </w:rPr>
      <w:t>ID083 (1146) Cheltenham Cricket Club</w:t>
    </w:r>
    <w:r w:rsidR="00FA3CD5">
      <w:rPr>
        <w:color w:val="0070C0"/>
        <w:sz w:val="20"/>
        <w:szCs w:val="20"/>
      </w:rPr>
      <w:t>_f</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533" w:rsidRDefault="00930533" w:rsidP="00B26D7F">
      <w:pPr>
        <w:spacing w:after="0" w:line="240" w:lineRule="auto"/>
      </w:pPr>
      <w:r>
        <w:separator/>
      </w:r>
    </w:p>
  </w:footnote>
  <w:footnote w:type="continuationSeparator" w:id="0">
    <w:p w:rsidR="00930533" w:rsidRDefault="00930533" w:rsidP="00B26D7F">
      <w:pPr>
        <w:spacing w:after="0" w:line="240" w:lineRule="auto"/>
      </w:pPr>
      <w:r>
        <w:continuationSeparator/>
      </w:r>
    </w:p>
  </w:footnote>
  <w:footnote w:id="1">
    <w:p w:rsidR="0036570C" w:rsidRDefault="0036570C">
      <w:pPr>
        <w:pStyle w:val="FootnoteText"/>
      </w:pPr>
      <w:r>
        <w:rPr>
          <w:rStyle w:val="FootnoteReference"/>
        </w:rPr>
        <w:footnoteRef/>
      </w:r>
      <w:r>
        <w:t xml:space="preserve"> Backwell NDP Examiner’s Report October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533" w:rsidRPr="00B26D7F" w:rsidRDefault="00930533" w:rsidP="00B26D7F">
    <w:pPr>
      <w:pStyle w:val="Header"/>
      <w:jc w:val="center"/>
      <w:rPr>
        <w:color w:val="0070C0"/>
        <w:sz w:val="20"/>
        <w:szCs w:val="20"/>
      </w:rPr>
    </w:pPr>
    <w:r w:rsidRPr="00B26D7F">
      <w:rPr>
        <w:color w:val="0070C0"/>
        <w:sz w:val="20"/>
        <w:szCs w:val="20"/>
      </w:rPr>
      <w:t xml:space="preserve">Tufnell </w:t>
    </w:r>
    <w:r w:rsidRPr="00B26D7F">
      <w:rPr>
        <w:i/>
        <w:color w:val="00B050"/>
        <w:sz w:val="20"/>
        <w:szCs w:val="20"/>
      </w:rPr>
      <w:t>Town &amp; Country</w:t>
    </w:r>
    <w:r w:rsidRPr="00B26D7F">
      <w:rPr>
        <w:color w:val="0070C0"/>
        <w:sz w:val="20"/>
        <w:szCs w:val="20"/>
      </w:rPr>
      <w:t xml:space="preserve"> Planning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B26D7F"/>
    <w:rsid w:val="00011A12"/>
    <w:rsid w:val="000264B4"/>
    <w:rsid w:val="000A0B16"/>
    <w:rsid w:val="000D7DB3"/>
    <w:rsid w:val="0010219A"/>
    <w:rsid w:val="0013197A"/>
    <w:rsid w:val="00134287"/>
    <w:rsid w:val="001374E3"/>
    <w:rsid w:val="0017073F"/>
    <w:rsid w:val="001C4150"/>
    <w:rsid w:val="001C6937"/>
    <w:rsid w:val="0023731F"/>
    <w:rsid w:val="00253CAF"/>
    <w:rsid w:val="00263D02"/>
    <w:rsid w:val="002B032C"/>
    <w:rsid w:val="002D1688"/>
    <w:rsid w:val="002F1F50"/>
    <w:rsid w:val="00340994"/>
    <w:rsid w:val="0036570C"/>
    <w:rsid w:val="003706E8"/>
    <w:rsid w:val="003929D7"/>
    <w:rsid w:val="003B2C7B"/>
    <w:rsid w:val="003F491B"/>
    <w:rsid w:val="0044231A"/>
    <w:rsid w:val="004671C1"/>
    <w:rsid w:val="00475CC6"/>
    <w:rsid w:val="00476FCA"/>
    <w:rsid w:val="00477E34"/>
    <w:rsid w:val="004C6990"/>
    <w:rsid w:val="005404FB"/>
    <w:rsid w:val="00551CC3"/>
    <w:rsid w:val="00553D93"/>
    <w:rsid w:val="0059089C"/>
    <w:rsid w:val="005C1988"/>
    <w:rsid w:val="005C494F"/>
    <w:rsid w:val="005D2384"/>
    <w:rsid w:val="00615296"/>
    <w:rsid w:val="00623EF7"/>
    <w:rsid w:val="00694F55"/>
    <w:rsid w:val="0069720D"/>
    <w:rsid w:val="00711FB0"/>
    <w:rsid w:val="00741BC2"/>
    <w:rsid w:val="00786CE3"/>
    <w:rsid w:val="00815443"/>
    <w:rsid w:val="00844C98"/>
    <w:rsid w:val="008773F2"/>
    <w:rsid w:val="008A0DD1"/>
    <w:rsid w:val="008A551F"/>
    <w:rsid w:val="009204B2"/>
    <w:rsid w:val="00930533"/>
    <w:rsid w:val="00945C1C"/>
    <w:rsid w:val="009626F3"/>
    <w:rsid w:val="00966E45"/>
    <w:rsid w:val="00975495"/>
    <w:rsid w:val="009C6098"/>
    <w:rsid w:val="00A45C42"/>
    <w:rsid w:val="00A629B3"/>
    <w:rsid w:val="00A67186"/>
    <w:rsid w:val="00A958F5"/>
    <w:rsid w:val="00AA63CE"/>
    <w:rsid w:val="00AC6499"/>
    <w:rsid w:val="00AD3319"/>
    <w:rsid w:val="00B20D50"/>
    <w:rsid w:val="00B26D7F"/>
    <w:rsid w:val="00B32FF7"/>
    <w:rsid w:val="00B562CB"/>
    <w:rsid w:val="00BA2B57"/>
    <w:rsid w:val="00BA39E7"/>
    <w:rsid w:val="00C04E11"/>
    <w:rsid w:val="00C4028B"/>
    <w:rsid w:val="00C6563C"/>
    <w:rsid w:val="00C71EA5"/>
    <w:rsid w:val="00CA7757"/>
    <w:rsid w:val="00CB06F2"/>
    <w:rsid w:val="00CD662F"/>
    <w:rsid w:val="00D226B4"/>
    <w:rsid w:val="00D31EC3"/>
    <w:rsid w:val="00D33AFB"/>
    <w:rsid w:val="00DC5A10"/>
    <w:rsid w:val="00DC60C4"/>
    <w:rsid w:val="00DD6E04"/>
    <w:rsid w:val="00DF7698"/>
    <w:rsid w:val="00E20DE1"/>
    <w:rsid w:val="00E46C56"/>
    <w:rsid w:val="00EE2E70"/>
    <w:rsid w:val="00F204F5"/>
    <w:rsid w:val="00F373B0"/>
    <w:rsid w:val="00F43DE8"/>
    <w:rsid w:val="00F47655"/>
    <w:rsid w:val="00F52F4E"/>
    <w:rsid w:val="00FA3CD5"/>
    <w:rsid w:val="00FA540D"/>
    <w:rsid w:val="00FC1601"/>
    <w:rsid w:val="00FD609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2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6D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6D7F"/>
  </w:style>
  <w:style w:type="paragraph" w:styleId="Footer">
    <w:name w:val="footer"/>
    <w:basedOn w:val="Normal"/>
    <w:link w:val="FooterChar"/>
    <w:uiPriority w:val="99"/>
    <w:unhideWhenUsed/>
    <w:rsid w:val="00B26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D7F"/>
  </w:style>
  <w:style w:type="paragraph" w:styleId="NormalWeb">
    <w:name w:val="Normal (Web)"/>
    <w:basedOn w:val="Normal"/>
    <w:uiPriority w:val="99"/>
    <w:semiHidden/>
    <w:unhideWhenUsed/>
    <w:rsid w:val="00F373B0"/>
  </w:style>
  <w:style w:type="paragraph" w:styleId="FootnoteText">
    <w:name w:val="footnote text"/>
    <w:basedOn w:val="Normal"/>
    <w:link w:val="FootnoteTextChar"/>
    <w:uiPriority w:val="99"/>
    <w:semiHidden/>
    <w:unhideWhenUsed/>
    <w:rsid w:val="003657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570C"/>
    <w:rPr>
      <w:sz w:val="20"/>
      <w:szCs w:val="20"/>
    </w:rPr>
  </w:style>
  <w:style w:type="character" w:styleId="FootnoteReference">
    <w:name w:val="footnote reference"/>
    <w:basedOn w:val="DefaultParagraphFont"/>
    <w:uiPriority w:val="99"/>
    <w:semiHidden/>
    <w:unhideWhenUsed/>
    <w:rsid w:val="0036570C"/>
    <w:rPr>
      <w:vertAlign w:val="superscript"/>
    </w:rPr>
  </w:style>
</w:styles>
</file>

<file path=word/webSettings.xml><?xml version="1.0" encoding="utf-8"?>
<w:webSettings xmlns:r="http://schemas.openxmlformats.org/officeDocument/2006/relationships" xmlns:w="http://schemas.openxmlformats.org/wordprocessingml/2006/main">
  <w:divs>
    <w:div w:id="546769311">
      <w:bodyDiv w:val="1"/>
      <w:marLeft w:val="0"/>
      <w:marRight w:val="0"/>
      <w:marTop w:val="0"/>
      <w:marBottom w:val="0"/>
      <w:divBdr>
        <w:top w:val="none" w:sz="0" w:space="0" w:color="auto"/>
        <w:left w:val="none" w:sz="0" w:space="0" w:color="auto"/>
        <w:bottom w:val="none" w:sz="0" w:space="0" w:color="auto"/>
        <w:right w:val="none" w:sz="0" w:space="0" w:color="auto"/>
      </w:divBdr>
    </w:div>
    <w:div w:id="745688238">
      <w:bodyDiv w:val="1"/>
      <w:marLeft w:val="0"/>
      <w:marRight w:val="0"/>
      <w:marTop w:val="0"/>
      <w:marBottom w:val="0"/>
      <w:divBdr>
        <w:top w:val="none" w:sz="0" w:space="0" w:color="auto"/>
        <w:left w:val="none" w:sz="0" w:space="0" w:color="auto"/>
        <w:bottom w:val="none" w:sz="0" w:space="0" w:color="auto"/>
        <w:right w:val="none" w:sz="0" w:space="0" w:color="auto"/>
      </w:divBdr>
    </w:div>
    <w:div w:id="1383671713">
      <w:bodyDiv w:val="1"/>
      <w:marLeft w:val="0"/>
      <w:marRight w:val="0"/>
      <w:marTop w:val="0"/>
      <w:marBottom w:val="0"/>
      <w:divBdr>
        <w:top w:val="none" w:sz="0" w:space="0" w:color="auto"/>
        <w:left w:val="none" w:sz="0" w:space="0" w:color="auto"/>
        <w:bottom w:val="none" w:sz="0" w:space="0" w:color="auto"/>
        <w:right w:val="none" w:sz="0" w:space="0" w:color="auto"/>
      </w:divBdr>
    </w:div>
    <w:div w:id="155446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2DE52-4DD9-4D7C-AFBC-508D6F6BC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5</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Tufnell</dc:creator>
  <cp:lastModifiedBy>Tufnell</cp:lastModifiedBy>
  <cp:revision>70</cp:revision>
  <dcterms:created xsi:type="dcterms:W3CDTF">2019-01-22T14:11:00Z</dcterms:created>
  <dcterms:modified xsi:type="dcterms:W3CDTF">2019-01-23T09:37:00Z</dcterms:modified>
</cp:coreProperties>
</file>